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3" w:rsidRDefault="00EF55E3"/>
    <w:tbl>
      <w:tblPr>
        <w:tblW w:w="998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931"/>
      </w:tblGrid>
      <w:tr w:rsidR="00AC32BB" w:rsidTr="003D7E73">
        <w:trPr>
          <w:trHeight w:val="330"/>
        </w:trPr>
        <w:tc>
          <w:tcPr>
            <w:tcW w:w="2050" w:type="dxa"/>
            <w:vMerge w:val="restart"/>
          </w:tcPr>
          <w:p w:rsidR="00AC32BB" w:rsidRDefault="00AC32BB" w:rsidP="000E5F17">
            <w:pPr>
              <w:spacing w:after="0" w:line="240" w:lineRule="auto"/>
              <w:ind w:left="200"/>
            </w:pPr>
            <w:r>
              <w:t xml:space="preserve"> </w:t>
            </w:r>
            <w:r w:rsidRPr="00AC32BB">
              <w:rPr>
                <w:noProof/>
                <w:lang w:eastAsia="tr-TR"/>
              </w:rPr>
              <w:drawing>
                <wp:inline distT="0" distB="0" distL="0" distR="0">
                  <wp:extent cx="1053612" cy="439616"/>
                  <wp:effectExtent l="1905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:rsidR="00AC32BB" w:rsidRPr="00B66DAD" w:rsidRDefault="00AC32BB" w:rsidP="00B66DA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B66DAD">
              <w:rPr>
                <w:rFonts w:cs="Arial"/>
                <w:b/>
                <w:sz w:val="24"/>
                <w:szCs w:val="24"/>
              </w:rPr>
              <w:t>ERİŞKİN HEMATOLOJİ KLİNİĞİ</w:t>
            </w:r>
          </w:p>
        </w:tc>
      </w:tr>
      <w:tr w:rsidR="00AC32BB" w:rsidTr="003D7E73">
        <w:trPr>
          <w:trHeight w:val="483"/>
        </w:trPr>
        <w:tc>
          <w:tcPr>
            <w:tcW w:w="2050" w:type="dxa"/>
            <w:vMerge/>
          </w:tcPr>
          <w:p w:rsidR="00AC32BB" w:rsidRDefault="00AC32BB" w:rsidP="000E5F17">
            <w:pPr>
              <w:spacing w:after="0"/>
              <w:ind w:left="200"/>
            </w:pPr>
          </w:p>
        </w:tc>
        <w:tc>
          <w:tcPr>
            <w:tcW w:w="7931" w:type="dxa"/>
            <w:vAlign w:val="center"/>
          </w:tcPr>
          <w:p w:rsidR="00A04B57" w:rsidRPr="00B66DAD" w:rsidRDefault="00C55DD0" w:rsidP="00A04B5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66DAD">
              <w:rPr>
                <w:rStyle w:val="Vurgu"/>
                <w:rFonts w:cs="Arial"/>
                <w:sz w:val="24"/>
                <w:szCs w:val="24"/>
              </w:rPr>
              <w:t>DİFERANSİYASYON</w:t>
            </w:r>
            <w:r w:rsidRPr="00B66DAD">
              <w:rPr>
                <w:rStyle w:val="st1"/>
                <w:rFonts w:cs="Arial"/>
                <w:sz w:val="24"/>
                <w:szCs w:val="24"/>
              </w:rPr>
              <w:t xml:space="preserve"> </w:t>
            </w:r>
            <w:r w:rsidR="00AC32BB" w:rsidRPr="00B66DAD">
              <w:rPr>
                <w:rFonts w:cs="Arial"/>
                <w:b/>
                <w:sz w:val="24"/>
                <w:szCs w:val="24"/>
              </w:rPr>
              <w:t xml:space="preserve"> (</w:t>
            </w:r>
            <w:r w:rsidRPr="00B66DAD">
              <w:rPr>
                <w:rStyle w:val="Vurgu"/>
                <w:rFonts w:cs="Arial"/>
                <w:sz w:val="24"/>
                <w:szCs w:val="24"/>
              </w:rPr>
              <w:t>Retinoik Asit</w:t>
            </w:r>
            <w:r w:rsidR="00AC32BB" w:rsidRPr="00B66DAD">
              <w:rPr>
                <w:rFonts w:cs="Arial"/>
                <w:b/>
                <w:sz w:val="24"/>
                <w:szCs w:val="24"/>
              </w:rPr>
              <w:t>) SENDROMU</w:t>
            </w:r>
            <w:r w:rsidR="00F1692B">
              <w:rPr>
                <w:rFonts w:cs="Arial"/>
                <w:b/>
                <w:sz w:val="24"/>
                <w:szCs w:val="24"/>
              </w:rPr>
              <w:t>( profilaksı ve tedavi)</w:t>
            </w:r>
          </w:p>
          <w:p w:rsidR="00AC32BB" w:rsidRPr="00B66DAD" w:rsidRDefault="00A04B57" w:rsidP="00A04B5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66DAD">
              <w:rPr>
                <w:rFonts w:cs="Arial"/>
                <w:i/>
                <w:sz w:val="18"/>
                <w:szCs w:val="24"/>
              </w:rPr>
              <w:t>(1.Sürüm/Aralık 2015)</w:t>
            </w:r>
          </w:p>
        </w:tc>
      </w:tr>
    </w:tbl>
    <w:p w:rsidR="00C55DD0" w:rsidRDefault="00C55DD0" w:rsidP="001E0680">
      <w:pPr>
        <w:shd w:val="clear" w:color="auto" w:fill="FABF8F" w:themeFill="accent6" w:themeFillTint="99"/>
        <w:spacing w:after="0" w:line="240" w:lineRule="auto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FE1942" w:rsidTr="008A337C">
        <w:trPr>
          <w:trHeight w:val="220"/>
        </w:trPr>
        <w:tc>
          <w:tcPr>
            <w:tcW w:w="4962" w:type="dxa"/>
          </w:tcPr>
          <w:p w:rsidR="00FE1942" w:rsidRPr="00F627FB" w:rsidRDefault="00FE1942" w:rsidP="008A337C">
            <w:pPr>
              <w:spacing w:after="0" w:line="240" w:lineRule="auto"/>
              <w:rPr>
                <w:rFonts w:cs="Arial"/>
                <w:szCs w:val="24"/>
              </w:rPr>
            </w:pPr>
            <w:r w:rsidRPr="00F627FB">
              <w:rPr>
                <w:rFonts w:cs="Arial"/>
                <w:szCs w:val="24"/>
              </w:rPr>
              <w:t>Adı Soyadı:</w:t>
            </w:r>
          </w:p>
        </w:tc>
        <w:tc>
          <w:tcPr>
            <w:tcW w:w="4961" w:type="dxa"/>
            <w:vMerge w:val="restart"/>
          </w:tcPr>
          <w:p w:rsidR="00CC39C1" w:rsidRPr="00F63FCE" w:rsidRDefault="00FE1942" w:rsidP="002022F7">
            <w:pPr>
              <w:spacing w:after="0"/>
              <w:jc w:val="both"/>
              <w:rPr>
                <w:rStyle w:val="nowrap1"/>
                <w:rFonts w:cs="Arial"/>
                <w:sz w:val="20"/>
                <w:szCs w:val="20"/>
              </w:rPr>
            </w:pPr>
            <w:r w:rsidRPr="008A337C">
              <w:rPr>
                <w:rStyle w:val="nowrap1"/>
                <w:rFonts w:cs="Arial"/>
                <w:szCs w:val="20"/>
              </w:rPr>
              <w:t xml:space="preserve">Low risk: </w:t>
            </w:r>
            <w:r w:rsidRPr="00F63FCE">
              <w:rPr>
                <w:rStyle w:val="nowrap1"/>
                <w:rFonts w:cs="Arial"/>
                <w:sz w:val="20"/>
                <w:szCs w:val="20"/>
              </w:rPr>
              <w:sym w:font="Wingdings" w:char="F06F"/>
            </w:r>
            <w:r w:rsidRPr="00F63FCE">
              <w:rPr>
                <w:rStyle w:val="nowrap1"/>
                <w:rFonts w:cs="Arial"/>
                <w:sz w:val="20"/>
                <w:szCs w:val="20"/>
              </w:rPr>
              <w:t xml:space="preserve"> </w:t>
            </w:r>
            <w:r w:rsidR="00CC39C1" w:rsidRPr="00F63FCE">
              <w:rPr>
                <w:rStyle w:val="nowrap1"/>
                <w:rFonts w:cs="Arial"/>
                <w:sz w:val="20"/>
                <w:szCs w:val="20"/>
              </w:rPr>
              <w:t>(</w:t>
            </w:r>
            <w:r w:rsidRPr="00F63FCE">
              <w:rPr>
                <w:rFonts w:cs="Arial"/>
                <w:sz w:val="20"/>
                <w:szCs w:val="20"/>
              </w:rPr>
              <w:t>WBC ≤10 x 10</w:t>
            </w:r>
            <w:r w:rsidRPr="00F63FCE">
              <w:rPr>
                <w:rFonts w:cs="Arial"/>
                <w:sz w:val="20"/>
                <w:szCs w:val="20"/>
                <w:vertAlign w:val="superscript"/>
              </w:rPr>
              <w:t>9</w:t>
            </w:r>
            <w:r w:rsidRPr="00F63FCE">
              <w:rPr>
                <w:rStyle w:val="nowrap1"/>
                <w:rFonts w:cs="Arial"/>
                <w:sz w:val="20"/>
                <w:szCs w:val="20"/>
              </w:rPr>
              <w:t>/L ve Plt</w:t>
            </w:r>
            <w:r w:rsidR="00CC39C1" w:rsidRPr="00F63FCE">
              <w:rPr>
                <w:rStyle w:val="nowrap1"/>
                <w:rFonts w:cs="Arial"/>
                <w:sz w:val="20"/>
                <w:szCs w:val="20"/>
              </w:rPr>
              <w:t xml:space="preserve"> </w:t>
            </w:r>
            <w:r w:rsidRPr="00F63FCE">
              <w:rPr>
                <w:rStyle w:val="nowrap1"/>
                <w:rFonts w:cs="Arial"/>
                <w:sz w:val="20"/>
                <w:szCs w:val="20"/>
              </w:rPr>
              <w:t>&gt;</w:t>
            </w:r>
            <w:r w:rsidRPr="00F63FCE">
              <w:rPr>
                <w:rFonts w:cs="Arial"/>
                <w:sz w:val="20"/>
                <w:szCs w:val="20"/>
              </w:rPr>
              <w:t xml:space="preserve"> 40 x 10</w:t>
            </w:r>
            <w:r w:rsidRPr="00F63FCE">
              <w:rPr>
                <w:rFonts w:cs="Arial"/>
                <w:sz w:val="20"/>
                <w:szCs w:val="20"/>
                <w:vertAlign w:val="superscript"/>
              </w:rPr>
              <w:t>9</w:t>
            </w:r>
            <w:r w:rsidRPr="00F63FCE">
              <w:rPr>
                <w:rStyle w:val="nowrap1"/>
                <w:rFonts w:cs="Arial"/>
                <w:sz w:val="20"/>
                <w:szCs w:val="20"/>
              </w:rPr>
              <w:t>/L)</w:t>
            </w:r>
            <w:bookmarkStart w:id="0" w:name="OLE_LINK1"/>
          </w:p>
          <w:p w:rsidR="00F504DC" w:rsidRPr="00F63FCE" w:rsidRDefault="00FE1942" w:rsidP="00F504DC">
            <w:pPr>
              <w:spacing w:after="0"/>
              <w:jc w:val="both"/>
              <w:rPr>
                <w:rStyle w:val="nowrap1"/>
                <w:rFonts w:cs="Arial"/>
                <w:sz w:val="20"/>
                <w:szCs w:val="20"/>
              </w:rPr>
            </w:pPr>
            <w:r w:rsidRPr="00F63FCE">
              <w:rPr>
                <w:rFonts w:cs="Arial"/>
                <w:sz w:val="20"/>
                <w:szCs w:val="20"/>
              </w:rPr>
              <w:t>Intermediate risk:</w:t>
            </w:r>
            <w:r w:rsidR="004C3BFF" w:rsidRPr="00F63FCE">
              <w:rPr>
                <w:rFonts w:cs="Arial"/>
                <w:sz w:val="20"/>
                <w:szCs w:val="20"/>
              </w:rPr>
              <w:fldChar w:fldCharType="begin"/>
            </w:r>
            <w:r w:rsidRPr="00F63FCE">
              <w:rPr>
                <w:rFonts w:cs="Arial"/>
                <w:sz w:val="20"/>
                <w:szCs w:val="20"/>
              </w:rPr>
              <w:instrText xml:space="preserve"> LINK </w:instrText>
            </w:r>
            <w:r w:rsidR="00F504DC">
              <w:rPr>
                <w:rFonts w:cs="Arial"/>
                <w:sz w:val="20"/>
                <w:szCs w:val="20"/>
              </w:rPr>
              <w:instrText xml:space="preserve">Word.Document.12 "C:\\Users\\irfan\\Desktop\\ERİŞKİN HEMATOLOJİ KLİNİĞİ difersiasyn sendtomu.docx" OLE_LINK1 </w:instrText>
            </w:r>
            <w:r w:rsidRPr="00F63FCE">
              <w:rPr>
                <w:rFonts w:cs="Arial"/>
                <w:sz w:val="20"/>
                <w:szCs w:val="20"/>
              </w:rPr>
              <w:instrText xml:space="preserve">\a \r  \* MERGEFORMAT </w:instrText>
            </w:r>
            <w:r w:rsidR="00F504DC" w:rsidRPr="00F63FCE">
              <w:rPr>
                <w:rFonts w:cs="Arial"/>
                <w:sz w:val="20"/>
                <w:szCs w:val="20"/>
              </w:rPr>
              <w:fldChar w:fldCharType="separate"/>
            </w:r>
          </w:p>
          <w:p w:rsidR="00FE1942" w:rsidRPr="00F63FCE" w:rsidRDefault="00F504DC" w:rsidP="00F504DC">
            <w:pPr>
              <w:spacing w:after="0"/>
              <w:jc w:val="both"/>
              <w:rPr>
                <w:rStyle w:val="nowrap1"/>
                <w:rFonts w:cs="Arial"/>
                <w:sz w:val="20"/>
                <w:szCs w:val="20"/>
              </w:rPr>
            </w:pPr>
            <w:r w:rsidRPr="00F63FCE">
              <w:rPr>
                <w:rFonts w:cs="Arial"/>
                <w:sz w:val="20"/>
                <w:szCs w:val="20"/>
              </w:rPr>
              <w:t>Intermediate risk:</w:t>
            </w:r>
            <w:r w:rsidRPr="00F63FCE">
              <w:rPr>
                <w:rStyle w:val="nowrap1"/>
                <w:rFonts w:ascii="Calibri" w:hAnsi="Calibri" w:cs="Arial"/>
                <w:sz w:val="20"/>
                <w:szCs w:val="20"/>
              </w:rPr>
              <w:sym w:font="Wingdings" w:char="F06F"/>
            </w:r>
            <w:r w:rsidR="004C3BFF" w:rsidRPr="00F63FCE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CC39C1" w:rsidRPr="00F63FCE">
              <w:rPr>
                <w:rFonts w:cs="Arial"/>
                <w:sz w:val="20"/>
                <w:szCs w:val="20"/>
              </w:rPr>
              <w:t xml:space="preserve"> (</w:t>
            </w:r>
            <w:r w:rsidR="00FE1942" w:rsidRPr="00F63FCE">
              <w:rPr>
                <w:rStyle w:val="nowrap1"/>
                <w:rFonts w:cs="Arial"/>
                <w:sz w:val="20"/>
                <w:szCs w:val="20"/>
              </w:rPr>
              <w:t xml:space="preserve"> </w:t>
            </w:r>
            <w:r w:rsidR="00FE1942" w:rsidRPr="00F63FCE">
              <w:rPr>
                <w:rFonts w:cs="Arial"/>
                <w:sz w:val="20"/>
                <w:szCs w:val="20"/>
              </w:rPr>
              <w:t>WBC ≤10 x 10</w:t>
            </w:r>
            <w:r w:rsidR="00FE1942" w:rsidRPr="00F63FCE">
              <w:rPr>
                <w:rFonts w:cs="Arial"/>
                <w:sz w:val="20"/>
                <w:szCs w:val="20"/>
                <w:vertAlign w:val="superscript"/>
              </w:rPr>
              <w:t>9</w:t>
            </w:r>
            <w:r w:rsidR="00FE1942" w:rsidRPr="00F63FCE">
              <w:rPr>
                <w:rStyle w:val="nowrap1"/>
                <w:rFonts w:cs="Arial"/>
                <w:sz w:val="20"/>
                <w:szCs w:val="20"/>
              </w:rPr>
              <w:t>/L ve Plt</w:t>
            </w:r>
            <w:r w:rsidR="00FE1942" w:rsidRPr="00F63FCE">
              <w:rPr>
                <w:rFonts w:cs="Arial"/>
                <w:sz w:val="20"/>
                <w:szCs w:val="20"/>
              </w:rPr>
              <w:t xml:space="preserve"> ≤40 x 10</w:t>
            </w:r>
            <w:r w:rsidR="00FE1942" w:rsidRPr="00F63FCE">
              <w:rPr>
                <w:rFonts w:cs="Arial"/>
                <w:sz w:val="20"/>
                <w:szCs w:val="20"/>
                <w:vertAlign w:val="superscript"/>
              </w:rPr>
              <w:t>9</w:t>
            </w:r>
            <w:r w:rsidR="00FE1942" w:rsidRPr="00F63FCE">
              <w:rPr>
                <w:rStyle w:val="nowrap1"/>
                <w:rFonts w:cs="Arial"/>
                <w:sz w:val="20"/>
                <w:szCs w:val="20"/>
              </w:rPr>
              <w:t>/</w:t>
            </w:r>
            <w:r w:rsidR="00CC39C1" w:rsidRPr="00F63FCE">
              <w:rPr>
                <w:rStyle w:val="nowrap1"/>
                <w:rFonts w:cs="Arial"/>
                <w:sz w:val="20"/>
                <w:szCs w:val="20"/>
              </w:rPr>
              <w:t>L)</w:t>
            </w:r>
          </w:p>
          <w:p w:rsidR="00F504DC" w:rsidRPr="00F63FCE" w:rsidRDefault="00FE1942" w:rsidP="00F504DC">
            <w:pPr>
              <w:spacing w:after="0"/>
              <w:rPr>
                <w:rStyle w:val="nowrap1"/>
                <w:rFonts w:cs="Arial"/>
                <w:sz w:val="20"/>
                <w:szCs w:val="20"/>
              </w:rPr>
            </w:pPr>
            <w:r w:rsidRPr="008A337C">
              <w:rPr>
                <w:rFonts w:cs="Arial"/>
                <w:szCs w:val="20"/>
              </w:rPr>
              <w:t xml:space="preserve">High risk: </w:t>
            </w:r>
            <w:r w:rsidR="004C3BFF" w:rsidRPr="00F63FCE">
              <w:rPr>
                <w:rFonts w:cs="Arial"/>
                <w:sz w:val="20"/>
                <w:szCs w:val="20"/>
              </w:rPr>
              <w:fldChar w:fldCharType="begin"/>
            </w:r>
            <w:r w:rsidRPr="00F63FCE">
              <w:rPr>
                <w:rFonts w:cs="Arial"/>
                <w:sz w:val="20"/>
                <w:szCs w:val="20"/>
              </w:rPr>
              <w:instrText xml:space="preserve"> LINK </w:instrText>
            </w:r>
            <w:r w:rsidR="00F504DC">
              <w:rPr>
                <w:rFonts w:cs="Arial"/>
                <w:sz w:val="20"/>
                <w:szCs w:val="20"/>
              </w:rPr>
              <w:instrText xml:space="preserve">Word.Document.12 "C:\\Users\\irfan\\Desktop\\ERİŞKİN HEMATOLOJİ KLİNİĞİ difersiasyn sendtomu.docx" OLE_LINK1 </w:instrText>
            </w:r>
            <w:r w:rsidRPr="00F63FCE">
              <w:rPr>
                <w:rFonts w:cs="Arial"/>
                <w:sz w:val="20"/>
                <w:szCs w:val="20"/>
              </w:rPr>
              <w:instrText xml:space="preserve">\a \r  \* MERGEFORMAT </w:instrText>
            </w:r>
            <w:r w:rsidR="00F504DC" w:rsidRPr="00F63FCE">
              <w:rPr>
                <w:rFonts w:cs="Arial"/>
                <w:sz w:val="20"/>
                <w:szCs w:val="20"/>
              </w:rPr>
              <w:fldChar w:fldCharType="separate"/>
            </w:r>
          </w:p>
          <w:p w:rsidR="00CC30BE" w:rsidRPr="002022F7" w:rsidRDefault="00F504DC" w:rsidP="00F504DC">
            <w:pPr>
              <w:spacing w:after="0"/>
              <w:rPr>
                <w:rFonts w:cs="Arial"/>
                <w:sz w:val="18"/>
                <w:szCs w:val="20"/>
              </w:rPr>
            </w:pPr>
            <w:r w:rsidRPr="00F63FCE">
              <w:rPr>
                <w:rFonts w:cs="Arial"/>
                <w:sz w:val="20"/>
                <w:szCs w:val="20"/>
              </w:rPr>
              <w:t>Intermediate risk:</w:t>
            </w:r>
            <w:r w:rsidRPr="00F63FCE">
              <w:rPr>
                <w:rStyle w:val="nowrap1"/>
                <w:rFonts w:ascii="Calibri" w:hAnsi="Calibri" w:cs="Arial"/>
                <w:sz w:val="20"/>
                <w:szCs w:val="20"/>
              </w:rPr>
              <w:sym w:font="Wingdings" w:char="F06F"/>
            </w:r>
            <w:r w:rsidR="004C3BFF" w:rsidRPr="00F63FCE">
              <w:rPr>
                <w:rFonts w:cs="Arial"/>
                <w:sz w:val="20"/>
                <w:szCs w:val="20"/>
              </w:rPr>
              <w:fldChar w:fldCharType="end"/>
            </w:r>
            <w:r w:rsidR="00FE1942" w:rsidRPr="00F63FCE">
              <w:rPr>
                <w:rFonts w:cs="Arial"/>
                <w:sz w:val="20"/>
                <w:szCs w:val="20"/>
              </w:rPr>
              <w:t xml:space="preserve"> </w:t>
            </w:r>
            <w:r w:rsidR="00CC39C1" w:rsidRPr="00F63FCE">
              <w:rPr>
                <w:rFonts w:cs="Arial"/>
                <w:sz w:val="20"/>
                <w:szCs w:val="20"/>
              </w:rPr>
              <w:t>(</w:t>
            </w:r>
            <w:r w:rsidR="00FE1942" w:rsidRPr="00F63FCE">
              <w:rPr>
                <w:rFonts w:cs="Arial"/>
                <w:sz w:val="20"/>
                <w:szCs w:val="20"/>
              </w:rPr>
              <w:t>WBC &gt;10 x 10</w:t>
            </w:r>
            <w:r w:rsidR="00FE1942" w:rsidRPr="00F63FCE">
              <w:rPr>
                <w:rFonts w:cs="Arial"/>
                <w:sz w:val="20"/>
                <w:szCs w:val="20"/>
                <w:vertAlign w:val="superscript"/>
              </w:rPr>
              <w:t>9</w:t>
            </w:r>
            <w:r w:rsidR="00FE1942" w:rsidRPr="00F63FCE">
              <w:rPr>
                <w:rStyle w:val="nowrap1"/>
                <w:rFonts w:cs="Arial"/>
                <w:sz w:val="20"/>
                <w:szCs w:val="20"/>
              </w:rPr>
              <w:t>/</w:t>
            </w:r>
            <w:r w:rsidR="00FE1942" w:rsidRPr="00CC39C1">
              <w:rPr>
                <w:rStyle w:val="nowrap1"/>
                <w:rFonts w:cs="Arial"/>
                <w:sz w:val="18"/>
                <w:szCs w:val="20"/>
              </w:rPr>
              <w:t>L</w:t>
            </w:r>
            <w:r w:rsidR="00CC39C1" w:rsidRPr="00CC39C1">
              <w:rPr>
                <w:rStyle w:val="nowrap1"/>
                <w:rFonts w:cs="Arial"/>
                <w:sz w:val="18"/>
                <w:szCs w:val="20"/>
              </w:rPr>
              <w:t>)</w:t>
            </w:r>
          </w:p>
        </w:tc>
      </w:tr>
      <w:tr w:rsidR="00FE1942" w:rsidTr="00F63FCE">
        <w:trPr>
          <w:trHeight w:val="203"/>
        </w:trPr>
        <w:tc>
          <w:tcPr>
            <w:tcW w:w="4962" w:type="dxa"/>
          </w:tcPr>
          <w:p w:rsidR="00FE1942" w:rsidRPr="00F627FB" w:rsidRDefault="008A337C" w:rsidP="00C55DD0">
            <w:pPr>
              <w:spacing w:after="0"/>
              <w:rPr>
                <w:rFonts w:cs="Arial"/>
                <w:szCs w:val="24"/>
              </w:rPr>
            </w:pPr>
            <w:r w:rsidRPr="00F627FB">
              <w:rPr>
                <w:rFonts w:cs="Arial"/>
                <w:szCs w:val="24"/>
              </w:rPr>
              <w:t>Boy (cm):           Kilo(kg):            VYA(m</w:t>
            </w:r>
            <w:r w:rsidRPr="00F627FB">
              <w:rPr>
                <w:rFonts w:cs="Arial"/>
                <w:szCs w:val="24"/>
                <w:vertAlign w:val="superscript"/>
              </w:rPr>
              <w:t>2</w:t>
            </w:r>
            <w:r w:rsidRPr="00F627FB">
              <w:rPr>
                <w:rFonts w:cs="Arial"/>
                <w:szCs w:val="24"/>
              </w:rPr>
              <w:t>):</w:t>
            </w:r>
          </w:p>
        </w:tc>
        <w:tc>
          <w:tcPr>
            <w:tcW w:w="4961" w:type="dxa"/>
            <w:vMerge/>
          </w:tcPr>
          <w:p w:rsidR="00FE1942" w:rsidRPr="000B3881" w:rsidRDefault="00FE1942" w:rsidP="00CD1D09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E1942" w:rsidTr="00F63FCE">
        <w:trPr>
          <w:trHeight w:val="111"/>
        </w:trPr>
        <w:tc>
          <w:tcPr>
            <w:tcW w:w="4962" w:type="dxa"/>
            <w:tcBorders>
              <w:top w:val="nil"/>
            </w:tcBorders>
          </w:tcPr>
          <w:p w:rsidR="00FE1942" w:rsidRPr="00F627FB" w:rsidRDefault="00FE1942" w:rsidP="008A337C">
            <w:pPr>
              <w:spacing w:after="0"/>
              <w:jc w:val="both"/>
              <w:rPr>
                <w:rFonts w:cs="Arial"/>
                <w:i/>
                <w:szCs w:val="20"/>
              </w:rPr>
            </w:pPr>
            <w:r w:rsidRPr="00F627FB">
              <w:rPr>
                <w:rFonts w:cs="Arial"/>
                <w:szCs w:val="24"/>
              </w:rPr>
              <w:t xml:space="preserve"> </w:t>
            </w:r>
            <w:r w:rsidR="008A337C" w:rsidRPr="00F627FB">
              <w:rPr>
                <w:rFonts w:cs="Arial"/>
                <w:szCs w:val="24"/>
              </w:rPr>
              <w:t>Yaş:</w:t>
            </w:r>
          </w:p>
        </w:tc>
        <w:tc>
          <w:tcPr>
            <w:tcW w:w="4961" w:type="dxa"/>
            <w:vMerge/>
          </w:tcPr>
          <w:p w:rsidR="00FE1942" w:rsidRPr="00CD1D09" w:rsidRDefault="00FE1942" w:rsidP="00CD1D09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092CDA" w:rsidRPr="0075003B" w:rsidRDefault="00127181" w:rsidP="00127181">
      <w:pPr>
        <w:spacing w:after="0"/>
        <w:jc w:val="both"/>
        <w:rPr>
          <w:rStyle w:val="Vurgu"/>
          <w:rFonts w:ascii="Arial" w:hAnsi="Arial" w:cs="Arial"/>
          <w:b w:val="0"/>
          <w:sz w:val="24"/>
          <w:szCs w:val="24"/>
        </w:rPr>
      </w:pPr>
      <w:r w:rsidRPr="0075003B">
        <w:rPr>
          <w:rFonts w:cs="Arial"/>
          <w:b/>
          <w:sz w:val="24"/>
          <w:szCs w:val="24"/>
        </w:rPr>
        <w:t>ATRA başlama tarihi:</w:t>
      </w:r>
    </w:p>
    <w:p w:rsidR="00C96434" w:rsidRPr="00F44154" w:rsidRDefault="003F3EE4" w:rsidP="00F44154">
      <w:pPr>
        <w:pStyle w:val="ListeParagraf"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F44154">
        <w:rPr>
          <w:rStyle w:val="Vurgu"/>
          <w:rFonts w:cs="Arial"/>
          <w:b w:val="0"/>
        </w:rPr>
        <w:t>Diferansiyasyon</w:t>
      </w:r>
      <w:r w:rsidRPr="00F44154">
        <w:rPr>
          <w:rStyle w:val="st1"/>
          <w:rFonts w:cs="Arial"/>
        </w:rPr>
        <w:t xml:space="preserve"> </w:t>
      </w:r>
      <w:r w:rsidRPr="00F44154">
        <w:rPr>
          <w:rFonts w:cs="Arial"/>
        </w:rPr>
        <w:t>sendromu</w:t>
      </w:r>
      <w:r w:rsidR="005B5635" w:rsidRPr="00F44154">
        <w:rPr>
          <w:rFonts w:cs="Arial"/>
        </w:rPr>
        <w:t xml:space="preserve"> </w:t>
      </w:r>
      <w:r w:rsidR="003A4D07" w:rsidRPr="00F44154">
        <w:rPr>
          <w:rFonts w:cs="Arial"/>
        </w:rPr>
        <w:t xml:space="preserve">(DS) </w:t>
      </w:r>
      <w:r w:rsidR="005B5635" w:rsidRPr="00F44154">
        <w:rPr>
          <w:rFonts w:cs="Arial"/>
        </w:rPr>
        <w:t>ATRA tedavisi alan o</w:t>
      </w:r>
      <w:r w:rsidR="00C96434" w:rsidRPr="00F44154">
        <w:rPr>
          <w:rFonts w:cs="Arial"/>
        </w:rPr>
        <w:t>lguların yaklaşık %25’inde görülür.</w:t>
      </w:r>
    </w:p>
    <w:p w:rsidR="003F3EE4" w:rsidRPr="00F44154" w:rsidRDefault="003A4D07" w:rsidP="00F44154">
      <w:pPr>
        <w:pStyle w:val="ListeParagraf"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F44154">
        <w:rPr>
          <w:rStyle w:val="Vurgu"/>
          <w:rFonts w:cs="Arial"/>
          <w:b w:val="0"/>
        </w:rPr>
        <w:t>DS</w:t>
      </w:r>
      <w:r w:rsidR="008C1C78" w:rsidRPr="00F44154">
        <w:rPr>
          <w:rFonts w:cs="Arial"/>
        </w:rPr>
        <w:t xml:space="preserve"> sıklıkla ATRA tedavisinin </w:t>
      </w:r>
      <w:r w:rsidR="00C96434" w:rsidRPr="00F44154">
        <w:rPr>
          <w:rFonts w:cs="Arial"/>
        </w:rPr>
        <w:t>2-21 günlerinde görülür (</w:t>
      </w:r>
      <w:r w:rsidR="008313F9" w:rsidRPr="00F44154">
        <w:rPr>
          <w:rFonts w:cs="Arial"/>
        </w:rPr>
        <w:t xml:space="preserve">Birinci ve 3. </w:t>
      </w:r>
      <w:r w:rsidR="008C1C78" w:rsidRPr="00F44154">
        <w:rPr>
          <w:rFonts w:cs="Arial"/>
        </w:rPr>
        <w:t xml:space="preserve">haftalarda görülme </w:t>
      </w:r>
      <w:r w:rsidR="008313F9" w:rsidRPr="00F44154">
        <w:rPr>
          <w:rFonts w:cs="Arial"/>
        </w:rPr>
        <w:t>sıklığı artar</w:t>
      </w:r>
      <w:r w:rsidR="008C1C78" w:rsidRPr="00F44154">
        <w:rPr>
          <w:rFonts w:cs="Arial"/>
        </w:rPr>
        <w:t>, ancak ATRA tedavisini 4</w:t>
      </w:r>
      <w:r w:rsidR="006A3A78" w:rsidRPr="00F44154">
        <w:rPr>
          <w:rFonts w:cs="Arial"/>
        </w:rPr>
        <w:t>5</w:t>
      </w:r>
      <w:r w:rsidR="008C1C78" w:rsidRPr="00F44154">
        <w:rPr>
          <w:rFonts w:cs="Arial"/>
        </w:rPr>
        <w:t>. günüde de görülebilir.</w:t>
      </w:r>
      <w:r w:rsidR="008313F9" w:rsidRPr="00F44154">
        <w:rPr>
          <w:rFonts w:cs="Arial"/>
        </w:rPr>
        <w:t>)</w:t>
      </w:r>
    </w:p>
    <w:p w:rsidR="00F20B96" w:rsidRPr="00F44154" w:rsidRDefault="008A2FA0" w:rsidP="00F44154">
      <w:pPr>
        <w:pStyle w:val="ListeParagraf"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F44154">
        <w:rPr>
          <w:rFonts w:cs="Arial"/>
        </w:rPr>
        <w:t>İndüksiyon tedavi sırasında az sayıdaki olguda</w:t>
      </w:r>
      <w:r w:rsidR="00922E79" w:rsidRPr="00F44154">
        <w:rPr>
          <w:rFonts w:cs="Arial"/>
        </w:rPr>
        <w:t xml:space="preserve"> DS </w:t>
      </w:r>
      <w:r w:rsidRPr="00F44154">
        <w:rPr>
          <w:rFonts w:cs="Arial"/>
        </w:rPr>
        <w:t>atağı tekrarlayabilir</w:t>
      </w:r>
      <w:r w:rsidR="00922E79" w:rsidRPr="00F44154">
        <w:rPr>
          <w:rFonts w:cs="Arial"/>
        </w:rPr>
        <w:t xml:space="preserve">. </w:t>
      </w:r>
    </w:p>
    <w:p w:rsidR="00F96380" w:rsidRPr="00F44154" w:rsidRDefault="00F20B96" w:rsidP="00F44154">
      <w:pPr>
        <w:pStyle w:val="ListeParagraf"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F44154">
        <w:rPr>
          <w:rFonts w:cs="Arial"/>
        </w:rPr>
        <w:t>DS relaps veya refrakter olgularda da görülebilir. Remisyon sağlanan hastalarda DS görülmez.</w:t>
      </w:r>
    </w:p>
    <w:p w:rsidR="00E62041" w:rsidRPr="00F44154" w:rsidRDefault="00C96434" w:rsidP="00F44154">
      <w:pPr>
        <w:pStyle w:val="ListeParagraf"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F44154">
        <w:rPr>
          <w:rFonts w:cs="Arial"/>
        </w:rPr>
        <w:t>Tanı sır</w:t>
      </w:r>
      <w:r w:rsidR="00661321" w:rsidRPr="00F44154">
        <w:rPr>
          <w:rFonts w:cs="Arial"/>
        </w:rPr>
        <w:t>a</w:t>
      </w:r>
      <w:r w:rsidRPr="00F44154">
        <w:rPr>
          <w:rFonts w:cs="Arial"/>
        </w:rPr>
        <w:t xml:space="preserve">sında </w:t>
      </w:r>
      <w:r w:rsidR="00061F29" w:rsidRPr="00F44154">
        <w:rPr>
          <w:rFonts w:cs="Arial"/>
        </w:rPr>
        <w:t xml:space="preserve">WBC </w:t>
      </w:r>
      <w:r w:rsidR="000F3DC8" w:rsidRPr="00F44154">
        <w:rPr>
          <w:rFonts w:cs="Arial"/>
        </w:rPr>
        <w:t>&gt;</w:t>
      </w:r>
      <w:r w:rsidR="009678AF" w:rsidRPr="00F44154">
        <w:rPr>
          <w:rStyle w:val="nowrap1"/>
          <w:rFonts w:cs="Arial"/>
        </w:rPr>
        <w:t>10.000</w:t>
      </w:r>
      <w:r w:rsidR="000F3DC8" w:rsidRPr="00F44154">
        <w:rPr>
          <w:rStyle w:val="nowrap1"/>
          <w:rFonts w:cs="Arial"/>
        </w:rPr>
        <w:t>/microL</w:t>
      </w:r>
      <w:r w:rsidR="006E62E0" w:rsidRPr="00F44154">
        <w:rPr>
          <w:rStyle w:val="nowrap1"/>
          <w:rFonts w:cs="Arial"/>
        </w:rPr>
        <w:t xml:space="preserve"> ve</w:t>
      </w:r>
      <w:r w:rsidR="00744D8A" w:rsidRPr="00F44154">
        <w:rPr>
          <w:rStyle w:val="nowrap1"/>
          <w:rFonts w:cs="Arial"/>
        </w:rPr>
        <w:t>/veya</w:t>
      </w:r>
      <w:r w:rsidR="006E62E0" w:rsidRPr="00F44154">
        <w:rPr>
          <w:rStyle w:val="nowrap1"/>
          <w:rFonts w:cs="Arial"/>
        </w:rPr>
        <w:t xml:space="preserve"> kreatinin</w:t>
      </w:r>
      <w:r w:rsidRPr="00F44154">
        <w:rPr>
          <w:rFonts w:cs="Arial"/>
        </w:rPr>
        <w:t xml:space="preserve"> </w:t>
      </w:r>
      <w:r w:rsidR="006E62E0" w:rsidRPr="00F44154">
        <w:rPr>
          <w:rFonts w:cs="Universal-GreekwithMathPi"/>
        </w:rPr>
        <w:t xml:space="preserve">&gt; </w:t>
      </w:r>
      <w:r w:rsidR="006E62E0" w:rsidRPr="00F44154">
        <w:rPr>
          <w:rFonts w:cs="Helvetica"/>
        </w:rPr>
        <w:t xml:space="preserve">1.4 mg/dL </w:t>
      </w:r>
      <w:r w:rsidR="000F3DC8" w:rsidRPr="00F44154">
        <w:rPr>
          <w:rFonts w:cs="Arial"/>
        </w:rPr>
        <w:t>olanlarda</w:t>
      </w:r>
      <w:r w:rsidR="00661321" w:rsidRPr="00F44154">
        <w:rPr>
          <w:rFonts w:cs="Arial"/>
        </w:rPr>
        <w:t xml:space="preserve"> DS risk</w:t>
      </w:r>
      <w:r w:rsidR="00744D8A" w:rsidRPr="00F44154">
        <w:rPr>
          <w:rFonts w:cs="Arial"/>
        </w:rPr>
        <w:t>i</w:t>
      </w:r>
      <w:r w:rsidR="00661321" w:rsidRPr="00F44154">
        <w:rPr>
          <w:rFonts w:cs="Arial"/>
        </w:rPr>
        <w:t xml:space="preserve"> artar.</w:t>
      </w:r>
    </w:p>
    <w:tbl>
      <w:tblPr>
        <w:tblpPr w:leftFromText="141" w:rightFromText="141" w:vertAnchor="text" w:horzAnchor="margin" w:tblpXSpec="right" w:tblpY="161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764"/>
        <w:gridCol w:w="426"/>
        <w:gridCol w:w="3689"/>
      </w:tblGrid>
      <w:tr w:rsidR="00F44154" w:rsidTr="00F44154">
        <w:trPr>
          <w:trHeight w:val="139"/>
        </w:trPr>
        <w:tc>
          <w:tcPr>
            <w:tcW w:w="7375" w:type="dxa"/>
            <w:gridSpan w:val="4"/>
            <w:shd w:val="clear" w:color="auto" w:fill="D9D9D9" w:themeFill="background1" w:themeFillShade="D9"/>
          </w:tcPr>
          <w:p w:rsidR="00F44154" w:rsidRPr="006E32BF" w:rsidRDefault="00F44154" w:rsidP="00F4415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6E32BF">
              <w:rPr>
                <w:rStyle w:val="Vurgu"/>
                <w:rFonts w:cs="Arial"/>
                <w:sz w:val="24"/>
                <w:szCs w:val="24"/>
              </w:rPr>
              <w:t>Diferansiyasyon</w:t>
            </w:r>
            <w:r w:rsidRPr="006E32BF">
              <w:rPr>
                <w:rStyle w:val="st1"/>
                <w:rFonts w:cs="Arial"/>
                <w:sz w:val="24"/>
                <w:szCs w:val="24"/>
              </w:rPr>
              <w:t xml:space="preserve"> </w:t>
            </w:r>
            <w:r w:rsidRPr="006E32BF">
              <w:rPr>
                <w:rFonts w:cs="Arial"/>
                <w:b/>
                <w:sz w:val="24"/>
                <w:szCs w:val="24"/>
              </w:rPr>
              <w:t>sendrom</w:t>
            </w:r>
            <w:r>
              <w:rPr>
                <w:rFonts w:cs="Arial"/>
                <w:b/>
                <w:sz w:val="24"/>
                <w:szCs w:val="24"/>
              </w:rPr>
              <w:t>unda s</w:t>
            </w:r>
            <w:r w:rsidRPr="006E32BF">
              <w:rPr>
                <w:rFonts w:cs="Arial"/>
                <w:b/>
                <w:sz w:val="24"/>
                <w:szCs w:val="24"/>
              </w:rPr>
              <w:t>emptom ve bulgular</w:t>
            </w:r>
            <w:r>
              <w:rPr>
                <w:rFonts w:cs="Arial"/>
                <w:b/>
                <w:sz w:val="24"/>
                <w:szCs w:val="24"/>
              </w:rPr>
              <w:t>/ derecesi</w:t>
            </w:r>
          </w:p>
        </w:tc>
      </w:tr>
      <w:tr w:rsidR="00F44154" w:rsidRPr="0090763D" w:rsidTr="00F44154">
        <w:trPr>
          <w:trHeight w:val="249"/>
        </w:trPr>
        <w:tc>
          <w:tcPr>
            <w:tcW w:w="49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  <w:r w:rsidRPr="008A6CB3">
              <w:rPr>
                <w:rFonts w:cs="Arial"/>
                <w:sz w:val="20"/>
                <w:szCs w:val="20"/>
              </w:rPr>
              <w:t>Dispne</w:t>
            </w:r>
          </w:p>
        </w:tc>
        <w:tc>
          <w:tcPr>
            <w:tcW w:w="42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rStyle w:val="Vurgu"/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spacing w:after="0" w:line="240" w:lineRule="auto"/>
              <w:rPr>
                <w:rStyle w:val="Vurgu"/>
                <w:rFonts w:cs="Arial"/>
                <w:b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8A6CB3">
              <w:rPr>
                <w:rFonts w:cs="Times New Roman"/>
                <w:sz w:val="20"/>
                <w:szCs w:val="20"/>
              </w:rPr>
              <w:t>öbrek yetmezli</w:t>
            </w:r>
            <w:r w:rsidRPr="008A6CB3">
              <w:rPr>
                <w:rFonts w:eastAsia="TimesNewRoman" w:cs="TimesNewRoman"/>
                <w:sz w:val="20"/>
                <w:szCs w:val="20"/>
              </w:rPr>
              <w:t>ğ</w:t>
            </w:r>
            <w:r w:rsidRPr="008A6CB3"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F44154" w:rsidRPr="0090763D" w:rsidTr="00F44154">
        <w:trPr>
          <w:trHeight w:val="203"/>
        </w:trPr>
        <w:tc>
          <w:tcPr>
            <w:tcW w:w="49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6CB3">
              <w:rPr>
                <w:sz w:val="20"/>
                <w:szCs w:val="20"/>
              </w:rPr>
              <w:t xml:space="preserve">Pulmoner infiltrasyon </w:t>
            </w:r>
            <w:r>
              <w:rPr>
                <w:sz w:val="20"/>
                <w:szCs w:val="20"/>
              </w:rPr>
              <w:t xml:space="preserve"> (X-ray)</w:t>
            </w:r>
          </w:p>
        </w:tc>
        <w:tc>
          <w:tcPr>
            <w:tcW w:w="426" w:type="dxa"/>
            <w:shd w:val="clear" w:color="auto" w:fill="FFFFFF" w:themeFill="background1"/>
          </w:tcPr>
          <w:p w:rsidR="00F44154" w:rsidRPr="0090763D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  <w:r w:rsidRPr="008A6CB3">
              <w:rPr>
                <w:sz w:val="20"/>
                <w:szCs w:val="20"/>
              </w:rPr>
              <w:t>Kilo artışı (5 kg’den fazla</w:t>
            </w:r>
            <w:r>
              <w:rPr>
                <w:sz w:val="20"/>
                <w:szCs w:val="20"/>
              </w:rPr>
              <w:t>)</w:t>
            </w:r>
          </w:p>
        </w:tc>
      </w:tr>
      <w:tr w:rsidR="00F44154" w:rsidRPr="0090763D" w:rsidTr="00F44154">
        <w:trPr>
          <w:trHeight w:val="222"/>
        </w:trPr>
        <w:tc>
          <w:tcPr>
            <w:tcW w:w="49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spacing w:after="0" w:line="240" w:lineRule="auto"/>
              <w:rPr>
                <w:rStyle w:val="Vurgu"/>
                <w:rFonts w:cs="Arial"/>
                <w:b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Ödem</w:t>
            </w:r>
          </w:p>
        </w:tc>
        <w:tc>
          <w:tcPr>
            <w:tcW w:w="426" w:type="dxa"/>
            <w:shd w:val="clear" w:color="auto" w:fill="FFFFFF" w:themeFill="background1"/>
          </w:tcPr>
          <w:p w:rsidR="00F44154" w:rsidRPr="0090763D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F44154" w:rsidRPr="0090763D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Plevral efüzyon</w:t>
            </w:r>
          </w:p>
        </w:tc>
      </w:tr>
      <w:tr w:rsidR="00F44154" w:rsidRPr="0090763D" w:rsidTr="00F44154">
        <w:trPr>
          <w:trHeight w:val="196"/>
        </w:trPr>
        <w:tc>
          <w:tcPr>
            <w:tcW w:w="49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6CB3">
              <w:rPr>
                <w:sz w:val="20"/>
                <w:szCs w:val="20"/>
              </w:rPr>
              <w:t>Açıklanamayan Ateş</w:t>
            </w:r>
          </w:p>
        </w:tc>
        <w:tc>
          <w:tcPr>
            <w:tcW w:w="426" w:type="dxa"/>
            <w:shd w:val="clear" w:color="auto" w:fill="FFFFFF" w:themeFill="background1"/>
          </w:tcPr>
          <w:p w:rsidR="00F44154" w:rsidRPr="0090763D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F44154" w:rsidRPr="0090763D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Perikardyal efüzyon</w:t>
            </w:r>
          </w:p>
        </w:tc>
      </w:tr>
      <w:tr w:rsidR="00F44154" w:rsidRPr="0090763D" w:rsidTr="00F44154">
        <w:trPr>
          <w:trHeight w:val="194"/>
        </w:trPr>
        <w:tc>
          <w:tcPr>
            <w:tcW w:w="496" w:type="dxa"/>
            <w:shd w:val="clear" w:color="auto" w:fill="FFFFFF" w:themeFill="background1"/>
          </w:tcPr>
          <w:p w:rsidR="00F44154" w:rsidRPr="0090763D" w:rsidRDefault="00F44154" w:rsidP="00F441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F44154" w:rsidRPr="008A6CB3" w:rsidRDefault="00F44154" w:rsidP="00F44154">
            <w:pPr>
              <w:spacing w:after="0" w:line="240" w:lineRule="auto"/>
              <w:rPr>
                <w:rStyle w:val="Vurgu"/>
                <w:rFonts w:cs="Arial"/>
                <w:b w:val="0"/>
                <w:sz w:val="20"/>
                <w:szCs w:val="20"/>
              </w:rPr>
            </w:pPr>
            <w:r w:rsidRPr="008A6CB3">
              <w:rPr>
                <w:sz w:val="20"/>
                <w:szCs w:val="20"/>
              </w:rPr>
              <w:t>Açıklanamayan Hipotansiyon</w:t>
            </w:r>
          </w:p>
        </w:tc>
        <w:tc>
          <w:tcPr>
            <w:tcW w:w="426" w:type="dxa"/>
            <w:shd w:val="clear" w:color="auto" w:fill="FFFFFF" w:themeFill="background1"/>
          </w:tcPr>
          <w:p w:rsidR="00F44154" w:rsidRPr="0093474A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:rsidR="00F44154" w:rsidRPr="0093474A" w:rsidRDefault="00F44154" w:rsidP="00F441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8385D">
              <w:rPr>
                <w:i/>
                <w:sz w:val="18"/>
              </w:rPr>
              <w:t>Olguda saptananlara + olarak belirtilmeli</w:t>
            </w:r>
          </w:p>
        </w:tc>
      </w:tr>
      <w:tr w:rsidR="00F44154" w:rsidRPr="0090763D" w:rsidTr="00F44154">
        <w:trPr>
          <w:trHeight w:val="203"/>
        </w:trPr>
        <w:tc>
          <w:tcPr>
            <w:tcW w:w="7375" w:type="dxa"/>
            <w:gridSpan w:val="4"/>
            <w:shd w:val="clear" w:color="auto" w:fill="FFFFFF" w:themeFill="background1"/>
          </w:tcPr>
          <w:p w:rsidR="00F44154" w:rsidRPr="009833B1" w:rsidRDefault="00F44154" w:rsidP="00F44154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cs="Times-Roman"/>
                <w:b/>
                <w:sz w:val="20"/>
              </w:rPr>
              <w:t xml:space="preserve">Severe </w:t>
            </w:r>
            <w:r w:rsidRPr="009833B1">
              <w:rPr>
                <w:rFonts w:cs="Times-Roman"/>
                <w:b/>
                <w:sz w:val="20"/>
              </w:rPr>
              <w:t xml:space="preserve">DS </w:t>
            </w:r>
            <w:r w:rsidRPr="009833B1">
              <w:rPr>
                <w:rStyle w:val="Vurgu"/>
                <w:rFonts w:cs="Arial"/>
                <w:b w:val="0"/>
                <w:sz w:val="20"/>
              </w:rPr>
              <w:t xml:space="preserve">: </w:t>
            </w:r>
            <w:r>
              <w:rPr>
                <w:rStyle w:val="Vurgu"/>
                <w:rFonts w:cs="Arial"/>
                <w:b w:val="0"/>
                <w:sz w:val="20"/>
              </w:rPr>
              <w:t>S</w:t>
            </w:r>
            <w:r w:rsidRPr="009833B1">
              <w:rPr>
                <w:rStyle w:val="Vurgu"/>
                <w:rFonts w:cs="Arial"/>
                <w:b w:val="0"/>
                <w:sz w:val="20"/>
              </w:rPr>
              <w:t xml:space="preserve">emptom </w:t>
            </w:r>
            <w:r>
              <w:rPr>
                <w:rStyle w:val="Vurgu"/>
                <w:rFonts w:cs="Arial"/>
                <w:b w:val="0"/>
                <w:sz w:val="20"/>
              </w:rPr>
              <w:t>ve/</w:t>
            </w:r>
            <w:r w:rsidRPr="009833B1">
              <w:rPr>
                <w:rStyle w:val="Vurgu"/>
                <w:rFonts w:cs="Arial"/>
                <w:b w:val="0"/>
                <w:sz w:val="20"/>
              </w:rPr>
              <w:t>veya bulgu</w:t>
            </w:r>
            <w:r>
              <w:rPr>
                <w:rStyle w:val="Vurgu"/>
                <w:rFonts w:cs="Arial"/>
                <w:b w:val="0"/>
                <w:sz w:val="20"/>
              </w:rPr>
              <w:t xml:space="preserve"> sayısı  </w:t>
            </w:r>
            <w:r>
              <w:rPr>
                <w:rStyle w:val="Vurgu"/>
                <w:rFonts w:cs="Arial"/>
                <w:b w:val="0"/>
                <w:sz w:val="20"/>
              </w:rPr>
              <w:sym w:font="Symbol" w:char="F0B3"/>
            </w:r>
            <w:r>
              <w:rPr>
                <w:rStyle w:val="Vurgu"/>
                <w:rFonts w:cs="Arial"/>
                <w:b w:val="0"/>
                <w:sz w:val="20"/>
              </w:rPr>
              <w:t xml:space="preserve"> </w:t>
            </w:r>
            <w:r w:rsidRPr="009833B1">
              <w:rPr>
                <w:rStyle w:val="Vurgu"/>
                <w:rFonts w:cs="Arial"/>
                <w:b w:val="0"/>
                <w:sz w:val="20"/>
              </w:rPr>
              <w:t xml:space="preserve">4 </w:t>
            </w:r>
          </w:p>
        </w:tc>
      </w:tr>
      <w:tr w:rsidR="00F44154" w:rsidTr="00F44154">
        <w:trPr>
          <w:trHeight w:val="165"/>
        </w:trPr>
        <w:tc>
          <w:tcPr>
            <w:tcW w:w="7375" w:type="dxa"/>
            <w:gridSpan w:val="4"/>
            <w:shd w:val="clear" w:color="auto" w:fill="FFFFFF" w:themeFill="background1"/>
          </w:tcPr>
          <w:p w:rsidR="00F44154" w:rsidRPr="009833B1" w:rsidRDefault="00F44154" w:rsidP="00F44154">
            <w:pPr>
              <w:spacing w:after="0" w:line="240" w:lineRule="auto"/>
              <w:rPr>
                <w:b/>
                <w:sz w:val="20"/>
              </w:rPr>
            </w:pPr>
            <w:r w:rsidRPr="009833B1">
              <w:rPr>
                <w:rFonts w:cs="Times-Roman"/>
                <w:b/>
                <w:szCs w:val="18"/>
              </w:rPr>
              <w:t>Moderate</w:t>
            </w:r>
            <w:r w:rsidRPr="009833B1">
              <w:rPr>
                <w:rFonts w:cs="Times New Roman"/>
                <w:b/>
                <w:sz w:val="20"/>
              </w:rPr>
              <w:t xml:space="preserve"> DS:</w:t>
            </w:r>
            <w:r w:rsidRPr="009833B1">
              <w:rPr>
                <w:rFonts w:cs="Times New Roman"/>
                <w:sz w:val="20"/>
              </w:rPr>
              <w:t xml:space="preserve"> </w:t>
            </w:r>
            <w:r>
              <w:rPr>
                <w:rStyle w:val="Vurgu"/>
                <w:rFonts w:cs="Arial"/>
                <w:b w:val="0"/>
                <w:sz w:val="20"/>
              </w:rPr>
              <w:t xml:space="preserve"> S</w:t>
            </w:r>
            <w:r w:rsidRPr="009833B1">
              <w:rPr>
                <w:rStyle w:val="Vurgu"/>
                <w:rFonts w:cs="Arial"/>
                <w:b w:val="0"/>
                <w:sz w:val="20"/>
              </w:rPr>
              <w:t xml:space="preserve">emptom </w:t>
            </w:r>
            <w:r>
              <w:rPr>
                <w:rStyle w:val="Vurgu"/>
                <w:rFonts w:cs="Arial"/>
                <w:b w:val="0"/>
                <w:sz w:val="20"/>
              </w:rPr>
              <w:t>ve/</w:t>
            </w:r>
            <w:r w:rsidRPr="009833B1">
              <w:rPr>
                <w:rStyle w:val="Vurgu"/>
                <w:rFonts w:cs="Arial"/>
                <w:b w:val="0"/>
                <w:sz w:val="20"/>
              </w:rPr>
              <w:t>veya bulgu</w:t>
            </w:r>
            <w:r>
              <w:rPr>
                <w:rStyle w:val="Vurgu"/>
                <w:rFonts w:cs="Arial"/>
                <w:b w:val="0"/>
                <w:sz w:val="20"/>
              </w:rPr>
              <w:t xml:space="preserve"> sayısı = </w:t>
            </w:r>
            <w:r w:rsidRPr="009833B1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 xml:space="preserve"> veya</w:t>
            </w:r>
            <w:r w:rsidRPr="009833B1">
              <w:rPr>
                <w:rFonts w:cs="Times New Roman"/>
                <w:sz w:val="20"/>
              </w:rPr>
              <w:t>3</w:t>
            </w:r>
            <w:r w:rsidRPr="009833B1">
              <w:rPr>
                <w:rStyle w:val="Vurgu"/>
                <w:rFonts w:cs="Arial"/>
                <w:b w:val="0"/>
                <w:sz w:val="20"/>
              </w:rPr>
              <w:t xml:space="preserve"> </w:t>
            </w:r>
          </w:p>
        </w:tc>
      </w:tr>
    </w:tbl>
    <w:p w:rsidR="00C76AA2" w:rsidRPr="00C76AA2" w:rsidRDefault="00C76AA2" w:rsidP="00C76AA2">
      <w:pPr>
        <w:pStyle w:val="ListeParagraf"/>
        <w:spacing w:after="0"/>
        <w:ind w:left="360"/>
        <w:jc w:val="both"/>
        <w:rPr>
          <w:rFonts w:cs="Arial"/>
          <w:b/>
          <w:sz w:val="24"/>
          <w:szCs w:val="24"/>
        </w:rPr>
      </w:pPr>
    </w:p>
    <w:p w:rsidR="0067402B" w:rsidRPr="002C3D66" w:rsidRDefault="004478BC" w:rsidP="00C55DD0">
      <w:pPr>
        <w:spacing w:after="0"/>
      </w:pPr>
      <w:r w:rsidRPr="004478BC">
        <w:rPr>
          <w:b/>
        </w:rPr>
        <w:t>Ayırıcı tanı</w:t>
      </w:r>
      <w:r>
        <w:br/>
      </w:r>
      <w:r w:rsidRPr="002C3D66">
        <w:t>.</w:t>
      </w:r>
      <w:r w:rsidR="007760A5" w:rsidRPr="002C3D66">
        <w:t xml:space="preserve"> </w:t>
      </w:r>
      <w:r w:rsidR="00C0105C" w:rsidRPr="002C3D66">
        <w:t xml:space="preserve"> </w:t>
      </w:r>
      <w:r w:rsidRPr="002C3D66">
        <w:t>Akciğer enfeksiyonu</w:t>
      </w:r>
    </w:p>
    <w:p w:rsidR="004478BC" w:rsidRPr="002C3D66" w:rsidRDefault="004478BC" w:rsidP="00C55DD0">
      <w:pPr>
        <w:spacing w:after="0"/>
      </w:pPr>
      <w:r w:rsidRPr="002C3D66">
        <w:t>.</w:t>
      </w:r>
      <w:r w:rsidR="00C0105C" w:rsidRPr="002C3D66">
        <w:t xml:space="preserve">  </w:t>
      </w:r>
      <w:r w:rsidRPr="002C3D66">
        <w:t>Tromboembolizm</w:t>
      </w:r>
    </w:p>
    <w:p w:rsidR="004478BC" w:rsidRPr="002C3D66" w:rsidRDefault="004478BC" w:rsidP="00C55DD0">
      <w:pPr>
        <w:spacing w:after="0"/>
      </w:pPr>
      <w:r w:rsidRPr="002C3D66">
        <w:t>.</w:t>
      </w:r>
      <w:r w:rsidR="007760A5" w:rsidRPr="002C3D66">
        <w:t xml:space="preserve"> </w:t>
      </w:r>
      <w:r w:rsidR="00C0105C" w:rsidRPr="002C3D66">
        <w:t xml:space="preserve"> </w:t>
      </w:r>
      <w:r w:rsidRPr="002C3D66">
        <w:t>Sepsis</w:t>
      </w:r>
    </w:p>
    <w:p w:rsidR="0067402B" w:rsidRPr="002C3D66" w:rsidRDefault="004478BC" w:rsidP="00C55DD0">
      <w:pPr>
        <w:spacing w:after="0"/>
      </w:pPr>
      <w:r w:rsidRPr="002C3D66">
        <w:t>.</w:t>
      </w:r>
      <w:r w:rsidR="007760A5" w:rsidRPr="002C3D66">
        <w:t xml:space="preserve"> </w:t>
      </w:r>
      <w:r w:rsidR="00C0105C" w:rsidRPr="002C3D66">
        <w:t xml:space="preserve"> </w:t>
      </w:r>
      <w:r w:rsidRPr="002C3D66">
        <w:t>Kalp yetmezliği</w:t>
      </w:r>
    </w:p>
    <w:p w:rsidR="00092CDA" w:rsidRDefault="00736DE0" w:rsidP="00F02F86">
      <w:pPr>
        <w:spacing w:after="0" w:line="240" w:lineRule="auto"/>
      </w:pPr>
      <w:r>
        <w:t xml:space="preserve">                   </w:t>
      </w:r>
      <w:r w:rsidR="00F02F86">
        <w:t xml:space="preserve">            </w:t>
      </w:r>
    </w:p>
    <w:p w:rsidR="00D20C2F" w:rsidRDefault="00D20C2F" w:rsidP="00CD1D09">
      <w:pPr>
        <w:spacing w:after="0" w:line="240" w:lineRule="auto"/>
        <w:rPr>
          <w:b/>
          <w:sz w:val="24"/>
        </w:rPr>
      </w:pPr>
    </w:p>
    <w:p w:rsidR="00C76AA2" w:rsidRDefault="00DF7051" w:rsidP="00C76AA2">
      <w:pPr>
        <w:pStyle w:val="ListeParagraf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Olguda:</w:t>
      </w:r>
      <w:r w:rsidR="00C76AA2" w:rsidRPr="0090763D">
        <w:rPr>
          <w:rFonts w:cs="Arial"/>
          <w:sz w:val="24"/>
          <w:szCs w:val="24"/>
        </w:rPr>
        <w:t xml:space="preserve"> </w:t>
      </w:r>
      <w:r w:rsidR="00C76AA2">
        <w:rPr>
          <w:rStyle w:val="Vurgu"/>
          <w:rFonts w:cs="Arial"/>
          <w:b w:val="0"/>
          <w:sz w:val="24"/>
          <w:szCs w:val="24"/>
        </w:rPr>
        <w:t>DS</w:t>
      </w:r>
      <w:r w:rsidR="00C76AA2" w:rsidRPr="0090763D">
        <w:rPr>
          <w:rFonts w:cs="Arial"/>
          <w:sz w:val="24"/>
          <w:szCs w:val="24"/>
        </w:rPr>
        <w:t xml:space="preserve"> A</w:t>
      </w:r>
      <w:r w:rsidR="00B04E00">
        <w:rPr>
          <w:rFonts w:cs="Arial"/>
          <w:sz w:val="24"/>
          <w:szCs w:val="24"/>
        </w:rPr>
        <w:t>TRA tedavisinin</w:t>
      </w:r>
      <w:r w:rsidR="00B04E00" w:rsidRPr="00976B6A">
        <w:rPr>
          <w:rFonts w:cs="Arial"/>
          <w:sz w:val="14"/>
          <w:szCs w:val="24"/>
        </w:rPr>
        <w:t>…………</w:t>
      </w:r>
      <w:r w:rsidR="00976B6A">
        <w:rPr>
          <w:rFonts w:cs="Arial"/>
          <w:sz w:val="14"/>
          <w:szCs w:val="24"/>
        </w:rPr>
        <w:t>……..</w:t>
      </w:r>
      <w:r w:rsidR="00B04E00" w:rsidRPr="00976B6A">
        <w:rPr>
          <w:rFonts w:cs="Arial"/>
          <w:sz w:val="14"/>
          <w:szCs w:val="24"/>
        </w:rPr>
        <w:t>……….</w:t>
      </w:r>
      <w:r w:rsidR="00B04E00">
        <w:rPr>
          <w:rFonts w:cs="Arial"/>
          <w:sz w:val="24"/>
          <w:szCs w:val="24"/>
        </w:rPr>
        <w:t>gününde gelişti</w:t>
      </w:r>
      <w:r w:rsidR="00C76AA2">
        <w:rPr>
          <w:rFonts w:cs="Arial"/>
          <w:sz w:val="24"/>
          <w:szCs w:val="24"/>
        </w:rPr>
        <w:t>.</w:t>
      </w:r>
    </w:p>
    <w:p w:rsidR="005C3F01" w:rsidRPr="0075003B" w:rsidRDefault="005C3F01" w:rsidP="00CD1D09">
      <w:pPr>
        <w:spacing w:after="0" w:line="240" w:lineRule="auto"/>
        <w:rPr>
          <w:b/>
          <w:sz w:val="24"/>
        </w:rPr>
      </w:pPr>
      <w:r w:rsidRPr="0075003B">
        <w:rPr>
          <w:b/>
          <w:sz w:val="24"/>
        </w:rPr>
        <w:t>Tedav</w:t>
      </w:r>
      <w:r w:rsidR="007760A5" w:rsidRPr="0075003B">
        <w:rPr>
          <w:b/>
          <w:sz w:val="24"/>
        </w:rPr>
        <w:t>i</w:t>
      </w:r>
      <w:r w:rsidR="0028437C" w:rsidRPr="0075003B">
        <w:rPr>
          <w:b/>
          <w:sz w:val="24"/>
        </w:rPr>
        <w:t xml:space="preserve"> önerileri</w:t>
      </w:r>
      <w:r w:rsidR="007E20A2">
        <w:rPr>
          <w:b/>
          <w:sz w:val="24"/>
        </w:rPr>
        <w:t xml:space="preserve"> </w:t>
      </w:r>
    </w:p>
    <w:p w:rsidR="00461D4B" w:rsidRPr="00950DD5" w:rsidRDefault="0073212E" w:rsidP="002C3D66">
      <w:pPr>
        <w:pStyle w:val="ListeParagraf"/>
        <w:numPr>
          <w:ilvl w:val="0"/>
          <w:numId w:val="3"/>
        </w:numPr>
        <w:spacing w:after="0"/>
        <w:jc w:val="both"/>
      </w:pPr>
      <w:r w:rsidRPr="00F63FCE">
        <w:rPr>
          <w:rStyle w:val="nowrap1"/>
          <w:rFonts w:cs="Arial"/>
          <w:sz w:val="20"/>
          <w:szCs w:val="20"/>
        </w:rPr>
        <w:sym w:font="Wingdings" w:char="F06F"/>
      </w:r>
      <w:r>
        <w:rPr>
          <w:b/>
          <w:sz w:val="24"/>
        </w:rPr>
        <w:t xml:space="preserve"> (I.yaklaşım): </w:t>
      </w:r>
      <w:r w:rsidR="00461D4B" w:rsidRPr="00950DD5">
        <w:t>DS</w:t>
      </w:r>
      <w:r w:rsidR="00F44154">
        <w:t xml:space="preserve"> şüphesinde </w:t>
      </w:r>
      <w:r w:rsidR="00461D4B" w:rsidRPr="00950DD5">
        <w:t>(</w:t>
      </w:r>
      <w:r w:rsidR="00461D4B" w:rsidRPr="00950DD5">
        <w:rPr>
          <w:rStyle w:val="Vurgu"/>
          <w:rFonts w:cs="Arial"/>
          <w:b w:val="0"/>
        </w:rPr>
        <w:sym w:font="Symbol" w:char="F0B3"/>
      </w:r>
      <w:r w:rsidR="00461D4B" w:rsidRPr="00950DD5">
        <w:rPr>
          <w:rStyle w:val="Vurgu"/>
          <w:rFonts w:cs="Arial"/>
          <w:b w:val="0"/>
        </w:rPr>
        <w:t xml:space="preserve"> </w:t>
      </w:r>
      <w:r w:rsidR="00567195" w:rsidRPr="00950DD5">
        <w:t xml:space="preserve">1 </w:t>
      </w:r>
      <w:r w:rsidR="00461D4B" w:rsidRPr="00950DD5">
        <w:t>semptom veya bulgu)</w:t>
      </w:r>
      <w:r w:rsidR="00FA7702" w:rsidRPr="00950DD5">
        <w:t xml:space="preserve"> </w:t>
      </w:r>
      <w:r w:rsidR="00D00130" w:rsidRPr="00950DD5">
        <w:rPr>
          <w:b/>
        </w:rPr>
        <w:t>VEYA</w:t>
      </w:r>
      <w:r w:rsidR="00FA7702" w:rsidRPr="00950DD5">
        <w:t xml:space="preserve"> DS tanısı konulan olgulara</w:t>
      </w:r>
      <w:r w:rsidR="00461D4B" w:rsidRPr="00950DD5">
        <w:t xml:space="preserve"> </w:t>
      </w:r>
      <w:r w:rsidR="00F44154">
        <w:t xml:space="preserve"> IV </w:t>
      </w:r>
      <w:r w:rsidR="00FA7702" w:rsidRPr="00950DD5">
        <w:t xml:space="preserve">deksametazon  </w:t>
      </w:r>
      <w:r w:rsidR="00F44154">
        <w:t>tedavisi başlanır.</w:t>
      </w:r>
    </w:p>
    <w:p w:rsidR="0028437C" w:rsidRPr="00950DD5" w:rsidRDefault="001A762D" w:rsidP="002C3D66">
      <w:pPr>
        <w:pStyle w:val="ListeParagraf"/>
        <w:numPr>
          <w:ilvl w:val="0"/>
          <w:numId w:val="3"/>
        </w:numPr>
        <w:spacing w:after="0"/>
        <w:jc w:val="both"/>
      </w:pPr>
      <w:r>
        <w:t>Olgulara</w:t>
      </w:r>
      <w:r w:rsidR="005308A9" w:rsidRPr="00950DD5">
        <w:t xml:space="preserve"> d</w:t>
      </w:r>
      <w:r w:rsidR="005C3F01" w:rsidRPr="00950DD5">
        <w:t>eksamet</w:t>
      </w:r>
      <w:r w:rsidR="005308A9" w:rsidRPr="00950DD5">
        <w:t>azon 2 x 10 mg (IV) başlanır. Semptom veya bulgular</w:t>
      </w:r>
      <w:r w:rsidR="005C3F01" w:rsidRPr="00950DD5">
        <w:t xml:space="preserve"> tamamen düzele</w:t>
      </w:r>
      <w:r w:rsidR="0027081F" w:rsidRPr="00950DD5">
        <w:t xml:space="preserve">ne kadar </w:t>
      </w:r>
      <w:r w:rsidR="00EE3510" w:rsidRPr="00950DD5">
        <w:t xml:space="preserve">(ortalama 3-5 gün) </w:t>
      </w:r>
      <w:r w:rsidR="005308A9" w:rsidRPr="00950DD5">
        <w:t>tedaviye</w:t>
      </w:r>
      <w:r w:rsidR="0027081F" w:rsidRPr="00950DD5">
        <w:t xml:space="preserve"> devam edilir. </w:t>
      </w:r>
      <w:r w:rsidR="005308A9" w:rsidRPr="00950DD5">
        <w:t xml:space="preserve">Semptom veya bulgular tamamen düzeldikten sonra </w:t>
      </w:r>
      <w:r w:rsidR="0027081F" w:rsidRPr="00950DD5">
        <w:t xml:space="preserve">deksametazon </w:t>
      </w:r>
      <w:r w:rsidR="005308A9" w:rsidRPr="00950DD5">
        <w:t xml:space="preserve">tedavisi </w:t>
      </w:r>
      <w:r w:rsidR="0027081F" w:rsidRPr="00950DD5">
        <w:t>2</w:t>
      </w:r>
      <w:r w:rsidR="00227E5D" w:rsidRPr="00950DD5">
        <w:t xml:space="preserve"> hafta içerisinde azaltılarak sonlandırılır</w:t>
      </w:r>
      <w:r w:rsidR="005C3F01" w:rsidRPr="00950DD5">
        <w:t>.</w:t>
      </w:r>
    </w:p>
    <w:p w:rsidR="00874993" w:rsidRPr="00950DD5" w:rsidRDefault="008A6CB3" w:rsidP="00F44154">
      <w:pPr>
        <w:pStyle w:val="ListeParagraf"/>
        <w:numPr>
          <w:ilvl w:val="0"/>
          <w:numId w:val="3"/>
        </w:numPr>
        <w:spacing w:after="0"/>
        <w:jc w:val="both"/>
      </w:pPr>
      <w:r w:rsidRPr="00950DD5">
        <w:rPr>
          <w:rStyle w:val="Vurgu"/>
          <w:rFonts w:cs="Arial"/>
          <w:b w:val="0"/>
        </w:rPr>
        <w:t xml:space="preserve">Ağır veya orta şiddetteki DS olgularında </w:t>
      </w:r>
      <w:r w:rsidR="001A762D" w:rsidRPr="001A762D">
        <w:rPr>
          <w:szCs w:val="18"/>
        </w:rPr>
        <w:t>respiratuar distres</w:t>
      </w:r>
      <w:r w:rsidR="00DE18F3">
        <w:rPr>
          <w:szCs w:val="18"/>
        </w:rPr>
        <w:t>/hipoksi</w:t>
      </w:r>
      <w:r w:rsidR="001A762D" w:rsidRPr="001A762D">
        <w:rPr>
          <w:rFonts w:ascii="Trebuchet MS" w:hAnsi="Trebuchet MS"/>
          <w:szCs w:val="18"/>
        </w:rPr>
        <w:t xml:space="preserve"> </w:t>
      </w:r>
      <w:r w:rsidR="00503209" w:rsidRPr="00503209">
        <w:rPr>
          <w:b/>
        </w:rPr>
        <w:t>VE</w:t>
      </w:r>
      <w:r w:rsidR="00F44154">
        <w:t xml:space="preserve"> böbrek fonksiyonları </w:t>
      </w:r>
      <w:r w:rsidR="00227E5D" w:rsidRPr="00950DD5">
        <w:t>düze</w:t>
      </w:r>
      <w:r w:rsidR="0028437C" w:rsidRPr="00950DD5">
        <w:t>le</w:t>
      </w:r>
      <w:r w:rsidR="00CD1D09" w:rsidRPr="00950DD5">
        <w:t>ne</w:t>
      </w:r>
      <w:r w:rsidR="0028437C" w:rsidRPr="00950DD5">
        <w:t xml:space="preserve"> kadar ATRA tedavisi</w:t>
      </w:r>
      <w:r w:rsidR="00F63FCE" w:rsidRPr="00950DD5">
        <w:t>ne ara verilir</w:t>
      </w:r>
      <w:r w:rsidR="002C3D66" w:rsidRPr="00950DD5">
        <w:t xml:space="preserve">. </w:t>
      </w:r>
    </w:p>
    <w:p w:rsidR="00874993" w:rsidRPr="00F44154" w:rsidRDefault="00E47174" w:rsidP="00874993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44154">
        <w:t xml:space="preserve">Tanı </w:t>
      </w:r>
      <w:r w:rsidR="00CE4BA7" w:rsidRPr="00F44154">
        <w:rPr>
          <w:b/>
        </w:rPr>
        <w:t xml:space="preserve">VEYA </w:t>
      </w:r>
      <w:r w:rsidR="00682795" w:rsidRPr="00F44154">
        <w:t xml:space="preserve">ATRA tedavi sırasında </w:t>
      </w:r>
      <w:r w:rsidRPr="00F44154">
        <w:rPr>
          <w:rFonts w:cs="Arial"/>
        </w:rPr>
        <w:t>WBC &gt;</w:t>
      </w:r>
      <w:r w:rsidR="00B44E54" w:rsidRPr="00F44154">
        <w:rPr>
          <w:rStyle w:val="nowrap1"/>
          <w:rFonts w:cs="Arial"/>
        </w:rPr>
        <w:t>5.000 veya kreatinin</w:t>
      </w:r>
      <w:r w:rsidR="00B44E54" w:rsidRPr="00F44154">
        <w:rPr>
          <w:rFonts w:cs="Arial"/>
        </w:rPr>
        <w:t xml:space="preserve"> </w:t>
      </w:r>
      <w:r w:rsidR="00B44E54" w:rsidRPr="00F44154">
        <w:rPr>
          <w:rFonts w:cs="Universal-GreekwithMathPi"/>
        </w:rPr>
        <w:t xml:space="preserve">&gt; </w:t>
      </w:r>
      <w:r w:rsidR="00B44E54" w:rsidRPr="00F44154">
        <w:rPr>
          <w:rFonts w:cs="Helvetica"/>
        </w:rPr>
        <w:t xml:space="preserve">1.4 mg/dL </w:t>
      </w:r>
      <w:r w:rsidRPr="00F44154">
        <w:rPr>
          <w:rStyle w:val="nowrap1"/>
          <w:rFonts w:cs="Arial"/>
        </w:rPr>
        <w:t xml:space="preserve">olgulara </w:t>
      </w:r>
      <w:r w:rsidR="00327B6D" w:rsidRPr="00F44154">
        <w:t>DS profilaksisi için</w:t>
      </w:r>
      <w:r w:rsidR="00327B6D" w:rsidRPr="00F44154">
        <w:rPr>
          <w:rStyle w:val="nowrap1"/>
          <w:rFonts w:cs="Arial"/>
        </w:rPr>
        <w:t xml:space="preserve"> </w:t>
      </w:r>
      <w:r w:rsidR="00874993" w:rsidRPr="00F44154">
        <w:rPr>
          <w:rFonts w:cs="AdvPS6EC0"/>
        </w:rPr>
        <w:t xml:space="preserve">15 gün süre ile </w:t>
      </w:r>
      <w:r w:rsidR="00874993" w:rsidRPr="00F44154">
        <w:t>deksametazon</w:t>
      </w:r>
      <w:r w:rsidR="00874993" w:rsidRPr="00F44154">
        <w:rPr>
          <w:rFonts w:cs="AdvPS6EC0"/>
        </w:rPr>
        <w:t xml:space="preserve"> </w:t>
      </w:r>
      <w:r w:rsidR="00682795" w:rsidRPr="00F44154">
        <w:rPr>
          <w:rFonts w:cs="AdvPS6EC0"/>
        </w:rPr>
        <w:t xml:space="preserve"> </w:t>
      </w:r>
      <w:r w:rsidR="00874993" w:rsidRPr="00F44154">
        <w:rPr>
          <w:rFonts w:cs="AdvPS6EC0"/>
        </w:rPr>
        <w:t>2.5 mg/m</w:t>
      </w:r>
      <w:r w:rsidR="00874993" w:rsidRPr="00F44154">
        <w:rPr>
          <w:rFonts w:cs="AdvPS6EC0"/>
          <w:vertAlign w:val="superscript"/>
        </w:rPr>
        <w:t>2</w:t>
      </w:r>
      <w:r w:rsidR="00682795" w:rsidRPr="00F44154">
        <w:rPr>
          <w:rFonts w:cs="AdvPS6EC0"/>
        </w:rPr>
        <w:t>(IV)</w:t>
      </w:r>
      <w:r w:rsidR="00874993" w:rsidRPr="00F44154">
        <w:rPr>
          <w:rFonts w:cs="AdvPS6EC0"/>
        </w:rPr>
        <w:t xml:space="preserve">, 12 </w:t>
      </w:r>
      <w:r w:rsidR="00B04E00" w:rsidRPr="00F44154">
        <w:rPr>
          <w:rFonts w:cs="AdvPS6EC0"/>
        </w:rPr>
        <w:t>saat ara</w:t>
      </w:r>
      <w:r w:rsidR="00874993" w:rsidRPr="00F44154">
        <w:rPr>
          <w:rFonts w:cs="AdvPS6EC0"/>
        </w:rPr>
        <w:t xml:space="preserve"> ile uygulanır</w:t>
      </w:r>
      <w:r w:rsidR="00874993">
        <w:rPr>
          <w:rFonts w:cs="AdvPS6EC0"/>
          <w:sz w:val="24"/>
          <w:szCs w:val="24"/>
        </w:rPr>
        <w:t>.</w:t>
      </w:r>
    </w:p>
    <w:p w:rsidR="00F44154" w:rsidRPr="00874993" w:rsidRDefault="0073212E" w:rsidP="00874993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63FCE">
        <w:rPr>
          <w:rStyle w:val="nowrap1"/>
          <w:rFonts w:cs="Arial"/>
          <w:sz w:val="20"/>
          <w:szCs w:val="20"/>
        </w:rPr>
        <w:sym w:font="Wingdings" w:char="F06F"/>
      </w:r>
      <w:r>
        <w:rPr>
          <w:b/>
          <w:sz w:val="24"/>
        </w:rPr>
        <w:t xml:space="preserve"> </w:t>
      </w:r>
      <w:r w:rsidR="007E20A2">
        <w:rPr>
          <w:b/>
          <w:sz w:val="24"/>
        </w:rPr>
        <w:t>(II.yaklaşım)</w:t>
      </w:r>
      <w:r>
        <w:rPr>
          <w:b/>
          <w:sz w:val="24"/>
        </w:rPr>
        <w:t xml:space="preserve">: </w:t>
      </w:r>
      <w:r w:rsidR="007E20A2">
        <w:t xml:space="preserve">ATRA tedavisi ile </w:t>
      </w:r>
      <w:r w:rsidR="007E20A2" w:rsidRPr="007E20A2">
        <w:t xml:space="preserve">birlikte </w:t>
      </w:r>
      <w:r w:rsidR="007E20A2" w:rsidRPr="007E20A2">
        <w:rPr>
          <w:rFonts w:cs="AdvPS6EC0"/>
        </w:rPr>
        <w:t>prednisone</w:t>
      </w:r>
      <w:r w:rsidR="007E20A2" w:rsidRPr="007E20A2">
        <w:rPr>
          <w:sz w:val="36"/>
        </w:rPr>
        <w:t xml:space="preserve"> </w:t>
      </w:r>
      <w:r w:rsidR="007E20A2" w:rsidRPr="00950DD5">
        <w:t>0.5mg/kg’a</w:t>
      </w:r>
      <w:r w:rsidR="007E20A2">
        <w:t xml:space="preserve"> başlanır </w:t>
      </w:r>
      <w:r w:rsidR="007E20A2" w:rsidRPr="00950DD5">
        <w:t>ve indüksiyon tedavisi boyunca devam edilir</w:t>
      </w:r>
      <w:r w:rsidR="007E20A2">
        <w:t>. DS</w:t>
      </w:r>
      <w:r w:rsidR="007B021C">
        <w:t xml:space="preserve"> şüphesi veya DS tanısında</w:t>
      </w:r>
      <w:r w:rsidR="007E20A2">
        <w:t xml:space="preserve"> </w:t>
      </w:r>
      <w:r w:rsidR="007E20A2" w:rsidRPr="007E20A2">
        <w:rPr>
          <w:rFonts w:cs="AdvPS6EC0"/>
        </w:rPr>
        <w:t>prednisone</w:t>
      </w:r>
      <w:r w:rsidR="007E20A2">
        <w:rPr>
          <w:rFonts w:cs="AdvPS6EC0"/>
        </w:rPr>
        <w:t xml:space="preserve"> sonlandırılarak</w:t>
      </w:r>
      <w:r w:rsidR="007E20A2" w:rsidRPr="007E20A2">
        <w:rPr>
          <w:sz w:val="36"/>
        </w:rPr>
        <w:t xml:space="preserve"> </w:t>
      </w:r>
      <w:r w:rsidR="007E20A2">
        <w:t>deksametazon ( 2 x 10 mg,</w:t>
      </w:r>
      <w:r w:rsidR="007E20A2" w:rsidRPr="00950DD5">
        <w:t>IV</w:t>
      </w:r>
      <w:r w:rsidR="007E20A2">
        <w:t>) tedavisine  geçilir.</w:t>
      </w:r>
      <w:r w:rsidR="00F44154" w:rsidRPr="00950DD5">
        <w:t xml:space="preserve"> </w:t>
      </w:r>
      <w:r w:rsidR="007E20A2">
        <w:t>Deksametazon</w:t>
      </w:r>
      <w:r w:rsidR="007E20A2" w:rsidRPr="00950DD5">
        <w:t xml:space="preserve"> </w:t>
      </w:r>
      <w:r w:rsidR="00F44154" w:rsidRPr="00950DD5">
        <w:t>tedavisi bittiği gün tekrar prednol 0.5mg/kg’a başlan</w:t>
      </w:r>
      <w:r w:rsidR="00D10C86">
        <w:t xml:space="preserve">arak </w:t>
      </w:r>
      <w:r w:rsidR="00F44154" w:rsidRPr="00950DD5">
        <w:t>indüksiyon tedavisi boyunca devam edilir.</w:t>
      </w:r>
      <w:r w:rsidR="00904067" w:rsidRPr="00904067">
        <w:rPr>
          <w:rFonts w:ascii="OTNEJMScalaSansLFCap" w:hAnsi="OTNEJMScalaSansLFCap" w:cs="OTNEJMScalaSansLFCap"/>
          <w:sz w:val="15"/>
          <w:szCs w:val="15"/>
        </w:rPr>
        <w:t xml:space="preserve"> </w:t>
      </w:r>
      <w:r w:rsidR="00904067">
        <w:rPr>
          <w:rFonts w:ascii="OTNEJMScalaSansLFCap" w:hAnsi="OTNEJMScalaSansLFCap" w:cs="OTNEJMScalaSansLFCap"/>
          <w:sz w:val="15"/>
          <w:szCs w:val="15"/>
        </w:rPr>
        <w:t>(</w:t>
      </w:r>
      <w:r w:rsidR="00904067" w:rsidRPr="00904067">
        <w:rPr>
          <w:rFonts w:cs="OTNEJMScalaSansLFCap"/>
          <w:i/>
          <w:sz w:val="14"/>
          <w:szCs w:val="20"/>
        </w:rPr>
        <w:t xml:space="preserve">N ENGL J MED </w:t>
      </w:r>
      <w:r w:rsidR="00904067" w:rsidRPr="00904067">
        <w:rPr>
          <w:rFonts w:cs="OTNEJMScalaSansOSF"/>
          <w:i/>
          <w:sz w:val="14"/>
          <w:szCs w:val="20"/>
        </w:rPr>
        <w:t xml:space="preserve">369;2 </w:t>
      </w:r>
      <w:r w:rsidR="00904067" w:rsidRPr="00904067">
        <w:rPr>
          <w:rFonts w:cs="OTNEJMScalaSansLFCap"/>
          <w:i/>
          <w:sz w:val="14"/>
          <w:szCs w:val="20"/>
        </w:rPr>
        <w:t xml:space="preserve">NEJM.ORG JULY </w:t>
      </w:r>
      <w:r w:rsidR="00904067" w:rsidRPr="00904067">
        <w:rPr>
          <w:rFonts w:cs="OTNEJMScalaSansOSF"/>
          <w:i/>
          <w:sz w:val="14"/>
          <w:szCs w:val="20"/>
        </w:rPr>
        <w:t>11</w:t>
      </w:r>
      <w:r w:rsidR="00904067" w:rsidRPr="00904067">
        <w:rPr>
          <w:rFonts w:cs="OTNEJMScalaSansLFCap"/>
          <w:i/>
          <w:sz w:val="14"/>
          <w:szCs w:val="20"/>
        </w:rPr>
        <w:t xml:space="preserve">, </w:t>
      </w:r>
      <w:r w:rsidR="00904067" w:rsidRPr="00904067">
        <w:rPr>
          <w:rFonts w:cs="OTNEJMScalaSansOSF"/>
          <w:i/>
          <w:sz w:val="14"/>
          <w:szCs w:val="20"/>
        </w:rPr>
        <w:t>2013</w:t>
      </w:r>
      <w:r w:rsidR="00904067">
        <w:rPr>
          <w:rFonts w:cs="OTNEJMScalaSansOSF"/>
          <w:i/>
          <w:sz w:val="14"/>
          <w:szCs w:val="20"/>
        </w:rPr>
        <w:t>)</w:t>
      </w:r>
    </w:p>
    <w:p w:rsidR="00EE3510" w:rsidRDefault="00EE3510" w:rsidP="00EE351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Tedavi:</w:t>
      </w:r>
    </w:p>
    <w:tbl>
      <w:tblPr>
        <w:tblW w:w="956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2902"/>
        <w:gridCol w:w="3262"/>
        <w:gridCol w:w="3400"/>
      </w:tblGrid>
      <w:tr w:rsidR="005A7625" w:rsidTr="003E0553">
        <w:trPr>
          <w:trHeight w:val="93"/>
        </w:trPr>
        <w:tc>
          <w:tcPr>
            <w:tcW w:w="2902" w:type="dxa"/>
            <w:vMerge w:val="restart"/>
            <w:shd w:val="clear" w:color="auto" w:fill="F2F2F2" w:themeFill="background1" w:themeFillShade="F2"/>
            <w:vAlign w:val="center"/>
          </w:tcPr>
          <w:p w:rsidR="005A7625" w:rsidRPr="008D41AC" w:rsidRDefault="005A7625" w:rsidP="005A7625">
            <w:pPr>
              <w:spacing w:after="0" w:line="240" w:lineRule="auto"/>
              <w:ind w:left="-75"/>
              <w:jc w:val="center"/>
              <w:rPr>
                <w:b/>
                <w:sz w:val="24"/>
                <w:szCs w:val="24"/>
              </w:rPr>
            </w:pPr>
            <w:r w:rsidRPr="008D41AC">
              <w:rPr>
                <w:sz w:val="24"/>
                <w:szCs w:val="24"/>
              </w:rPr>
              <w:t>Deksametazon (2 x 10 mg )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5A7625" w:rsidRPr="008D41AC" w:rsidRDefault="00F44154" w:rsidP="005A7625">
            <w:pPr>
              <w:spacing w:after="0" w:line="240" w:lineRule="auto"/>
              <w:ind w:left="-7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7625" w:rsidRPr="008D41AC">
              <w:rPr>
                <w:sz w:val="24"/>
                <w:szCs w:val="24"/>
              </w:rPr>
              <w:t>Başlama tarihi:</w:t>
            </w: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="005A7625" w:rsidRPr="008D41AC" w:rsidRDefault="005A7625" w:rsidP="005A7625">
            <w:pPr>
              <w:spacing w:after="0"/>
              <w:rPr>
                <w:b/>
                <w:sz w:val="24"/>
              </w:rPr>
            </w:pPr>
            <w:r w:rsidRPr="008D41AC">
              <w:rPr>
                <w:sz w:val="24"/>
              </w:rPr>
              <w:t>Sonlandırma tarihi:</w:t>
            </w:r>
          </w:p>
        </w:tc>
      </w:tr>
      <w:tr w:rsidR="005A7625" w:rsidTr="003E0553">
        <w:trPr>
          <w:trHeight w:val="240"/>
        </w:trPr>
        <w:tc>
          <w:tcPr>
            <w:tcW w:w="2902" w:type="dxa"/>
            <w:vMerge/>
            <w:shd w:val="clear" w:color="auto" w:fill="F2F2F2" w:themeFill="background1" w:themeFillShade="F2"/>
          </w:tcPr>
          <w:p w:rsidR="005A7625" w:rsidRPr="008D41AC" w:rsidRDefault="005A7625" w:rsidP="00EE35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2F2F2" w:themeFill="background1" w:themeFillShade="F2"/>
          </w:tcPr>
          <w:p w:rsidR="005A7625" w:rsidRPr="008D41AC" w:rsidRDefault="005A7625" w:rsidP="00EE3510">
            <w:pPr>
              <w:spacing w:after="0"/>
              <w:rPr>
                <w:sz w:val="24"/>
                <w:szCs w:val="24"/>
              </w:rPr>
            </w:pPr>
            <w:r w:rsidRPr="008D41AC">
              <w:rPr>
                <w:sz w:val="24"/>
                <w:szCs w:val="24"/>
              </w:rPr>
              <w:t>Azaltma tarihi:</w:t>
            </w: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="005A7625" w:rsidRPr="00EE3510" w:rsidRDefault="005A7625" w:rsidP="005A7625">
            <w:pPr>
              <w:spacing w:after="0"/>
              <w:ind w:left="346"/>
            </w:pPr>
          </w:p>
        </w:tc>
      </w:tr>
    </w:tbl>
    <w:p w:rsidR="00EE3510" w:rsidRDefault="00EE3510" w:rsidP="00EE3510">
      <w:pPr>
        <w:spacing w:after="0" w:line="240" w:lineRule="auto"/>
        <w:rPr>
          <w:b/>
        </w:rPr>
      </w:pPr>
    </w:p>
    <w:p w:rsidR="006D66DB" w:rsidRPr="003E0553" w:rsidRDefault="006D66DB" w:rsidP="00EE3510">
      <w:pPr>
        <w:spacing w:after="0" w:line="240" w:lineRule="auto"/>
        <w:rPr>
          <w:b/>
          <w:sz w:val="24"/>
          <w:szCs w:val="24"/>
        </w:rPr>
      </w:pPr>
      <w:r w:rsidRPr="003E0553">
        <w:rPr>
          <w:b/>
          <w:sz w:val="24"/>
          <w:szCs w:val="24"/>
        </w:rPr>
        <w:t>Destek tedavisi:</w:t>
      </w:r>
    </w:p>
    <w:p w:rsidR="009D0271" w:rsidRPr="003E0553" w:rsidRDefault="009D16A3" w:rsidP="0048385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E0553">
        <w:rPr>
          <w:rStyle w:val="Vurgu"/>
          <w:rFonts w:cs="Arial"/>
          <w:b w:val="0"/>
          <w:sz w:val="24"/>
          <w:szCs w:val="24"/>
        </w:rPr>
        <w:t>Diferansiyasyon</w:t>
      </w:r>
      <w:r w:rsidRPr="003E0553">
        <w:rPr>
          <w:rStyle w:val="st1"/>
          <w:rFonts w:cs="Arial"/>
          <w:sz w:val="24"/>
          <w:szCs w:val="24"/>
        </w:rPr>
        <w:t xml:space="preserve"> </w:t>
      </w:r>
      <w:r w:rsidRPr="003E0553">
        <w:rPr>
          <w:rFonts w:cs="Arial"/>
          <w:sz w:val="24"/>
          <w:szCs w:val="24"/>
        </w:rPr>
        <w:t>sendromu gelişen olgularda</w:t>
      </w:r>
      <w:r w:rsidRPr="003E0553">
        <w:rPr>
          <w:rFonts w:cs="Times New Roman"/>
          <w:sz w:val="24"/>
          <w:szCs w:val="24"/>
        </w:rPr>
        <w:t xml:space="preserve"> trombosit sayısı </w:t>
      </w:r>
      <w:r w:rsidRPr="003E0553">
        <w:rPr>
          <w:rFonts w:eastAsia="TimesNewRoman" w:cs="TimesNewRoman"/>
          <w:sz w:val="24"/>
          <w:szCs w:val="24"/>
        </w:rPr>
        <w:t>≥</w:t>
      </w:r>
      <w:r w:rsidRPr="003E0553">
        <w:rPr>
          <w:rFonts w:cs="Arial"/>
          <w:sz w:val="24"/>
          <w:szCs w:val="24"/>
        </w:rPr>
        <w:t>50 x 10</w:t>
      </w:r>
      <w:r w:rsidRPr="003E0553">
        <w:rPr>
          <w:rFonts w:cs="Arial"/>
          <w:sz w:val="24"/>
          <w:szCs w:val="24"/>
          <w:vertAlign w:val="superscript"/>
        </w:rPr>
        <w:t>9</w:t>
      </w:r>
      <w:r w:rsidRPr="003E0553">
        <w:rPr>
          <w:rStyle w:val="nowrap1"/>
          <w:rFonts w:cs="Arial"/>
          <w:sz w:val="24"/>
          <w:szCs w:val="24"/>
        </w:rPr>
        <w:t xml:space="preserve">/L </w:t>
      </w:r>
      <w:r w:rsidRPr="003E0553">
        <w:rPr>
          <w:rFonts w:cs="Times New Roman"/>
          <w:sz w:val="24"/>
          <w:szCs w:val="24"/>
        </w:rPr>
        <w:t>ve fibrinojen &gt; 150</w:t>
      </w:r>
      <w:r w:rsidR="003E0553" w:rsidRPr="003E0553">
        <w:rPr>
          <w:rFonts w:cs="Times New Roman"/>
          <w:sz w:val="24"/>
          <w:szCs w:val="24"/>
        </w:rPr>
        <w:t xml:space="preserve"> </w:t>
      </w:r>
      <w:r w:rsidRPr="003E0553">
        <w:rPr>
          <w:rFonts w:cs="Times New Roman"/>
          <w:sz w:val="24"/>
          <w:szCs w:val="24"/>
        </w:rPr>
        <w:t xml:space="preserve">mg/dl olacak şekilde destek tedavisi </w:t>
      </w:r>
      <w:r w:rsidR="002A49D7" w:rsidRPr="003E0553">
        <w:rPr>
          <w:rFonts w:cs="Times New Roman"/>
          <w:sz w:val="24"/>
          <w:szCs w:val="24"/>
        </w:rPr>
        <w:t>uygulanır.</w:t>
      </w:r>
    </w:p>
    <w:p w:rsidR="00EE3510" w:rsidRPr="003E0553" w:rsidRDefault="00EE3510" w:rsidP="00EE351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67402B" w:rsidRDefault="0067402B" w:rsidP="00C55DD0">
      <w:pPr>
        <w:spacing w:after="0"/>
      </w:pPr>
    </w:p>
    <w:p w:rsidR="0067402B" w:rsidRDefault="0067402B" w:rsidP="00C55DD0">
      <w:pPr>
        <w:spacing w:after="0"/>
      </w:pPr>
    </w:p>
    <w:p w:rsidR="003E0553" w:rsidRDefault="003E0553" w:rsidP="00C55DD0">
      <w:pPr>
        <w:spacing w:after="0"/>
      </w:pPr>
    </w:p>
    <w:p w:rsidR="00F44154" w:rsidRDefault="00F44154" w:rsidP="00C55DD0">
      <w:pPr>
        <w:spacing w:after="0"/>
      </w:pPr>
    </w:p>
    <w:p w:rsidR="00F44154" w:rsidRDefault="00F44154" w:rsidP="00C55DD0">
      <w:pPr>
        <w:spacing w:after="0"/>
      </w:pPr>
    </w:p>
    <w:p w:rsidR="003E0553" w:rsidRDefault="003E0553" w:rsidP="00C55DD0">
      <w:pPr>
        <w:spacing w:after="0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0"/>
        <w:gridCol w:w="7751"/>
      </w:tblGrid>
      <w:tr w:rsidR="00673E8D" w:rsidTr="00014031">
        <w:trPr>
          <w:trHeight w:val="330"/>
        </w:trPr>
        <w:tc>
          <w:tcPr>
            <w:tcW w:w="1850" w:type="dxa"/>
            <w:vMerge w:val="restart"/>
          </w:tcPr>
          <w:p w:rsidR="00673E8D" w:rsidRDefault="00673E8D" w:rsidP="00C12F37">
            <w:pPr>
              <w:spacing w:after="0" w:line="240" w:lineRule="auto"/>
              <w:ind w:left="200"/>
            </w:pPr>
            <w:r w:rsidRPr="00AC32BB">
              <w:rPr>
                <w:noProof/>
                <w:lang w:eastAsia="tr-TR"/>
              </w:rPr>
              <w:drawing>
                <wp:inline distT="0" distB="0" distL="0" distR="0">
                  <wp:extent cx="1053612" cy="439616"/>
                  <wp:effectExtent l="19050" t="0" r="0" b="0"/>
                  <wp:docPr id="1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:rsidR="00673E8D" w:rsidRPr="00B66DAD" w:rsidRDefault="00673E8D" w:rsidP="00C12F3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B66DAD">
              <w:rPr>
                <w:rFonts w:cs="Arial"/>
                <w:b/>
                <w:sz w:val="24"/>
                <w:szCs w:val="24"/>
              </w:rPr>
              <w:t>ERİŞKİN HEMATOLOJİ KLİNİĞİ</w:t>
            </w:r>
          </w:p>
        </w:tc>
      </w:tr>
      <w:tr w:rsidR="00673E8D" w:rsidTr="00014031">
        <w:trPr>
          <w:trHeight w:val="483"/>
        </w:trPr>
        <w:tc>
          <w:tcPr>
            <w:tcW w:w="1850" w:type="dxa"/>
            <w:vMerge/>
          </w:tcPr>
          <w:p w:rsidR="00673E8D" w:rsidRDefault="00673E8D" w:rsidP="00C12F37">
            <w:pPr>
              <w:spacing w:after="0"/>
              <w:ind w:left="200"/>
            </w:pPr>
          </w:p>
        </w:tc>
        <w:tc>
          <w:tcPr>
            <w:tcW w:w="7931" w:type="dxa"/>
            <w:vAlign w:val="center"/>
          </w:tcPr>
          <w:p w:rsidR="00673E8D" w:rsidRPr="00B66DAD" w:rsidRDefault="00C831CA" w:rsidP="00C12F3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Style w:val="Vurgu"/>
                <w:rFonts w:cs="Arial"/>
                <w:sz w:val="24"/>
                <w:szCs w:val="24"/>
              </w:rPr>
              <w:t>APL HASTALARINDA ATRA TEDAVİSİ</w:t>
            </w:r>
            <w:r w:rsidR="00950DD5">
              <w:rPr>
                <w:rStyle w:val="Vurgu"/>
                <w:rFonts w:cs="Arial"/>
                <w:sz w:val="24"/>
                <w:szCs w:val="24"/>
              </w:rPr>
              <w:t xml:space="preserve"> TAKİBİ</w:t>
            </w:r>
          </w:p>
          <w:p w:rsidR="00673E8D" w:rsidRPr="00B66DAD" w:rsidRDefault="00673E8D" w:rsidP="00C12F3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66DAD">
              <w:rPr>
                <w:rFonts w:cs="Arial"/>
                <w:i/>
                <w:sz w:val="18"/>
                <w:szCs w:val="24"/>
              </w:rPr>
              <w:t>(1.Sürüm/Aralık 2015)</w:t>
            </w:r>
          </w:p>
        </w:tc>
      </w:tr>
    </w:tbl>
    <w:p w:rsidR="003E0553" w:rsidRDefault="003E0553" w:rsidP="00C831CA">
      <w:pPr>
        <w:shd w:val="clear" w:color="auto" w:fill="FABF8F" w:themeFill="accent6" w:themeFillTint="99"/>
        <w:spacing w:after="0" w:line="240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961"/>
      </w:tblGrid>
      <w:tr w:rsidR="00673E8D" w:rsidTr="00950DD5">
        <w:trPr>
          <w:trHeight w:val="226"/>
        </w:trPr>
        <w:tc>
          <w:tcPr>
            <w:tcW w:w="4820" w:type="dxa"/>
          </w:tcPr>
          <w:p w:rsidR="00673E8D" w:rsidRPr="00F627FB" w:rsidRDefault="00673E8D" w:rsidP="006A386B">
            <w:pPr>
              <w:spacing w:after="0" w:line="240" w:lineRule="auto"/>
              <w:rPr>
                <w:rFonts w:cs="Arial"/>
                <w:szCs w:val="24"/>
              </w:rPr>
            </w:pPr>
            <w:r w:rsidRPr="00F627FB">
              <w:rPr>
                <w:rFonts w:cs="Arial"/>
                <w:szCs w:val="24"/>
              </w:rPr>
              <w:t>Adı Soyadı:</w:t>
            </w:r>
          </w:p>
        </w:tc>
        <w:tc>
          <w:tcPr>
            <w:tcW w:w="4961" w:type="dxa"/>
            <w:vMerge w:val="restart"/>
            <w:vAlign w:val="center"/>
          </w:tcPr>
          <w:p w:rsidR="00F504DC" w:rsidRPr="00F504DC" w:rsidRDefault="00673E8D" w:rsidP="00F504DC">
            <w:pPr>
              <w:spacing w:after="0"/>
              <w:rPr>
                <w:rStyle w:val="nowrap1"/>
                <w:rFonts w:cs="Arial"/>
                <w:szCs w:val="20"/>
              </w:rPr>
            </w:pPr>
            <w:r w:rsidRPr="00950DD5">
              <w:rPr>
                <w:rStyle w:val="nowrap1"/>
                <w:rFonts w:cs="Arial"/>
                <w:szCs w:val="20"/>
              </w:rPr>
              <w:t xml:space="preserve">Low risk: </w:t>
            </w:r>
            <w:r w:rsidRPr="00950DD5">
              <w:rPr>
                <w:rStyle w:val="nowrap1"/>
                <w:rFonts w:cs="Arial"/>
                <w:szCs w:val="20"/>
              </w:rPr>
              <w:sym w:font="Wingdings" w:char="F06F"/>
            </w:r>
            <w:r w:rsidR="00950DD5" w:rsidRPr="00950DD5">
              <w:rPr>
                <w:rStyle w:val="nowrap1"/>
                <w:rFonts w:cs="Arial"/>
                <w:szCs w:val="20"/>
              </w:rPr>
              <w:t xml:space="preserve"> </w:t>
            </w:r>
            <w:r w:rsidR="00950DD5">
              <w:rPr>
                <w:rStyle w:val="nowrap1"/>
                <w:rFonts w:cs="Arial"/>
                <w:szCs w:val="20"/>
              </w:rPr>
              <w:t>-</w:t>
            </w:r>
            <w:r w:rsidR="00950DD5" w:rsidRPr="00950DD5">
              <w:rPr>
                <w:rStyle w:val="nowrap1"/>
                <w:rFonts w:cs="Arial"/>
                <w:szCs w:val="20"/>
              </w:rPr>
              <w:t xml:space="preserve"> </w:t>
            </w:r>
            <w:r w:rsidRPr="00950DD5">
              <w:rPr>
                <w:rStyle w:val="nowrap1"/>
                <w:rFonts w:cs="Arial"/>
                <w:szCs w:val="20"/>
              </w:rPr>
              <w:t xml:space="preserve"> </w:t>
            </w:r>
            <w:r w:rsidRPr="00950DD5">
              <w:rPr>
                <w:rFonts w:cs="Arial"/>
                <w:szCs w:val="20"/>
              </w:rPr>
              <w:t>Intermediate risk:</w:t>
            </w:r>
            <w:r w:rsidR="004C3BFF" w:rsidRPr="00950DD5">
              <w:rPr>
                <w:rFonts w:cs="Arial"/>
                <w:szCs w:val="20"/>
              </w:rPr>
              <w:fldChar w:fldCharType="begin"/>
            </w:r>
            <w:r w:rsidRPr="00950DD5">
              <w:rPr>
                <w:rFonts w:cs="Arial"/>
                <w:szCs w:val="20"/>
              </w:rPr>
              <w:instrText xml:space="preserve"> LINK </w:instrText>
            </w:r>
            <w:r w:rsidR="00F504DC">
              <w:rPr>
                <w:rFonts w:cs="Arial"/>
                <w:szCs w:val="20"/>
              </w:rPr>
              <w:instrText xml:space="preserve">Word.Document.12 "C:\\Users\\irfan\\Desktop\\ERİŞKİN HEMATOLOJİ KLİNİĞİ difersiasyn sendtomu.docx" OLE_LINK1 </w:instrText>
            </w:r>
            <w:r w:rsidRPr="00950DD5">
              <w:rPr>
                <w:rFonts w:cs="Arial"/>
                <w:szCs w:val="20"/>
              </w:rPr>
              <w:instrText xml:space="preserve">\a \r  \* MERGEFORMAT </w:instrText>
            </w:r>
            <w:r w:rsidR="00F504DC" w:rsidRPr="00950DD5">
              <w:rPr>
                <w:rFonts w:cs="Arial"/>
                <w:szCs w:val="20"/>
              </w:rPr>
              <w:fldChar w:fldCharType="separate"/>
            </w:r>
          </w:p>
          <w:p w:rsidR="00F504DC" w:rsidRPr="00F504DC" w:rsidRDefault="00F504DC" w:rsidP="00F504DC">
            <w:pPr>
              <w:spacing w:after="0"/>
              <w:rPr>
                <w:rStyle w:val="nowrap1"/>
                <w:rFonts w:cs="Arial"/>
                <w:szCs w:val="20"/>
              </w:rPr>
            </w:pPr>
            <w:r w:rsidRPr="00F63FCE">
              <w:rPr>
                <w:rFonts w:cs="Arial"/>
                <w:sz w:val="20"/>
                <w:szCs w:val="20"/>
              </w:rPr>
              <w:t>Intermediate risk:</w:t>
            </w:r>
            <w:r w:rsidRPr="00F63FCE">
              <w:rPr>
                <w:rStyle w:val="nowrap1"/>
                <w:rFonts w:ascii="Calibri" w:hAnsi="Calibri" w:cs="Arial"/>
                <w:sz w:val="20"/>
                <w:szCs w:val="20"/>
              </w:rPr>
              <w:sym w:font="Wingdings" w:char="F06F"/>
            </w:r>
            <w:r w:rsidR="004C3BFF" w:rsidRPr="00950DD5">
              <w:rPr>
                <w:rFonts w:cs="Arial"/>
                <w:szCs w:val="20"/>
              </w:rPr>
              <w:fldChar w:fldCharType="end"/>
            </w:r>
            <w:r w:rsidR="00950DD5" w:rsidRPr="00950DD5">
              <w:rPr>
                <w:rStyle w:val="nowrap1"/>
                <w:rFonts w:cs="Arial"/>
                <w:szCs w:val="20"/>
              </w:rPr>
              <w:t xml:space="preserve">  </w:t>
            </w:r>
            <w:r w:rsidR="00950DD5">
              <w:rPr>
                <w:rStyle w:val="nowrap1"/>
                <w:rFonts w:cs="Arial"/>
                <w:szCs w:val="20"/>
              </w:rPr>
              <w:t xml:space="preserve">-  </w:t>
            </w:r>
            <w:r w:rsidR="00673E8D" w:rsidRPr="00950DD5">
              <w:rPr>
                <w:rFonts w:cs="Arial"/>
                <w:szCs w:val="20"/>
              </w:rPr>
              <w:t xml:space="preserve">High risk: </w:t>
            </w:r>
            <w:r w:rsidR="004C3BFF" w:rsidRPr="00950DD5">
              <w:rPr>
                <w:rFonts w:cs="Arial"/>
                <w:szCs w:val="20"/>
              </w:rPr>
              <w:fldChar w:fldCharType="begin"/>
            </w:r>
            <w:r w:rsidR="00673E8D" w:rsidRPr="00950DD5">
              <w:rPr>
                <w:rFonts w:cs="Arial"/>
                <w:szCs w:val="20"/>
              </w:rPr>
              <w:instrText xml:space="preserve"> LINK </w:instrText>
            </w:r>
            <w:r>
              <w:rPr>
                <w:rFonts w:cs="Arial"/>
                <w:szCs w:val="20"/>
              </w:rPr>
              <w:instrText xml:space="preserve">Word.Document.12 "C:\\Users\\irfan\\Desktop\\ERİŞKİN HEMATOLOJİ KLİNİĞİ difersiasyn sendtomu.docx" OLE_LINK1 </w:instrText>
            </w:r>
            <w:r w:rsidR="00673E8D" w:rsidRPr="00950DD5">
              <w:rPr>
                <w:rFonts w:cs="Arial"/>
                <w:szCs w:val="20"/>
              </w:rPr>
              <w:instrText xml:space="preserve">\a \r  \* MERGEFORMAT </w:instrText>
            </w:r>
            <w:r w:rsidRPr="00950DD5">
              <w:rPr>
                <w:rFonts w:cs="Arial"/>
                <w:szCs w:val="20"/>
              </w:rPr>
              <w:fldChar w:fldCharType="separate"/>
            </w:r>
          </w:p>
          <w:p w:rsidR="00673E8D" w:rsidRPr="00950DD5" w:rsidRDefault="00F504DC" w:rsidP="00F504DC">
            <w:pPr>
              <w:spacing w:after="0"/>
              <w:rPr>
                <w:rFonts w:cs="Arial"/>
                <w:sz w:val="20"/>
                <w:szCs w:val="20"/>
              </w:rPr>
            </w:pPr>
            <w:r w:rsidRPr="00F63FCE">
              <w:rPr>
                <w:rFonts w:cs="Arial"/>
                <w:sz w:val="20"/>
                <w:szCs w:val="20"/>
              </w:rPr>
              <w:t>Intermediate risk:</w:t>
            </w:r>
            <w:r w:rsidRPr="00F63FCE">
              <w:rPr>
                <w:rStyle w:val="nowrap1"/>
                <w:rFonts w:ascii="Calibri" w:hAnsi="Calibri" w:cs="Arial"/>
                <w:sz w:val="20"/>
                <w:szCs w:val="20"/>
              </w:rPr>
              <w:sym w:font="Wingdings" w:char="F06F"/>
            </w:r>
            <w:r w:rsidR="004C3BFF" w:rsidRPr="00950DD5">
              <w:rPr>
                <w:rFonts w:cs="Arial"/>
                <w:szCs w:val="20"/>
              </w:rPr>
              <w:fldChar w:fldCharType="end"/>
            </w:r>
            <w:r w:rsidR="00673E8D" w:rsidRPr="00950DD5">
              <w:rPr>
                <w:rFonts w:cs="Arial"/>
                <w:szCs w:val="20"/>
              </w:rPr>
              <w:t xml:space="preserve"> </w:t>
            </w:r>
          </w:p>
        </w:tc>
      </w:tr>
      <w:tr w:rsidR="00673E8D" w:rsidTr="006A386B">
        <w:trPr>
          <w:trHeight w:val="230"/>
        </w:trPr>
        <w:tc>
          <w:tcPr>
            <w:tcW w:w="4820" w:type="dxa"/>
          </w:tcPr>
          <w:p w:rsidR="00673E8D" w:rsidRPr="00F627FB" w:rsidRDefault="00673E8D" w:rsidP="00C12F37">
            <w:pPr>
              <w:spacing w:after="0"/>
              <w:rPr>
                <w:rFonts w:cs="Arial"/>
                <w:szCs w:val="24"/>
              </w:rPr>
            </w:pPr>
            <w:r w:rsidRPr="00F627FB">
              <w:rPr>
                <w:rFonts w:cs="Arial"/>
                <w:szCs w:val="24"/>
              </w:rPr>
              <w:t>Yaş:</w:t>
            </w:r>
            <w:r w:rsidR="00950DD5" w:rsidRPr="00F627FB">
              <w:rPr>
                <w:rFonts w:cs="Arial"/>
                <w:szCs w:val="24"/>
              </w:rPr>
              <w:t xml:space="preserve"> </w:t>
            </w:r>
            <w:r w:rsidR="00950DD5">
              <w:rPr>
                <w:rFonts w:cs="Arial"/>
                <w:szCs w:val="24"/>
              </w:rPr>
              <w:t xml:space="preserve">                                            </w:t>
            </w:r>
            <w:r w:rsidR="00950DD5" w:rsidRPr="00F627FB">
              <w:rPr>
                <w:rFonts w:cs="Arial"/>
                <w:szCs w:val="24"/>
              </w:rPr>
              <w:t>VYA(m</w:t>
            </w:r>
            <w:r w:rsidR="00950DD5" w:rsidRPr="00F627FB">
              <w:rPr>
                <w:rFonts w:cs="Arial"/>
                <w:szCs w:val="24"/>
                <w:vertAlign w:val="superscript"/>
              </w:rPr>
              <w:t>2</w:t>
            </w:r>
            <w:r w:rsidR="00950DD5" w:rsidRPr="00F627FB">
              <w:rPr>
                <w:rFonts w:cs="Arial"/>
                <w:szCs w:val="24"/>
              </w:rPr>
              <w:t>):</w:t>
            </w:r>
          </w:p>
        </w:tc>
        <w:tc>
          <w:tcPr>
            <w:tcW w:w="4961" w:type="dxa"/>
            <w:vMerge/>
          </w:tcPr>
          <w:p w:rsidR="00673E8D" w:rsidRPr="000B3881" w:rsidRDefault="00673E8D" w:rsidP="00C12F37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673E8D" w:rsidRPr="00AD7008" w:rsidRDefault="00673E8D" w:rsidP="00AD7008">
      <w:pPr>
        <w:spacing w:after="0" w:line="360" w:lineRule="auto"/>
        <w:jc w:val="both"/>
        <w:rPr>
          <w:rStyle w:val="Vurgu"/>
          <w:rFonts w:ascii="Arial" w:hAnsi="Arial" w:cs="Arial"/>
          <w:b w:val="0"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>ATRA başlama tarihi:</w:t>
      </w:r>
    </w:p>
    <w:p w:rsidR="00F3674D" w:rsidRPr="00AD7008" w:rsidRDefault="00F3674D" w:rsidP="00AD7008">
      <w:pPr>
        <w:spacing w:after="0" w:line="360" w:lineRule="auto"/>
        <w:jc w:val="both"/>
        <w:rPr>
          <w:rFonts w:cs="Arial"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 xml:space="preserve">ATRA dozu </w:t>
      </w:r>
      <w:r w:rsidRPr="00AD7008">
        <w:rPr>
          <w:rFonts w:cs="Arial"/>
          <w:sz w:val="24"/>
          <w:szCs w:val="24"/>
        </w:rPr>
        <w:t>(45 mg / m</w:t>
      </w:r>
      <w:r w:rsidRPr="00AD7008">
        <w:rPr>
          <w:rFonts w:cs="Arial"/>
          <w:sz w:val="24"/>
          <w:szCs w:val="24"/>
          <w:vertAlign w:val="superscript"/>
        </w:rPr>
        <w:t>2</w:t>
      </w:r>
      <w:r w:rsidRPr="00AD7008">
        <w:rPr>
          <w:rFonts w:cs="Arial"/>
          <w:sz w:val="24"/>
          <w:szCs w:val="24"/>
        </w:rPr>
        <w:t xml:space="preserve">/gün):  </w:t>
      </w:r>
      <w:r w:rsidR="00014031" w:rsidRPr="00AD7008">
        <w:rPr>
          <w:rFonts w:cs="Arial"/>
          <w:sz w:val="24"/>
          <w:szCs w:val="24"/>
        </w:rPr>
        <w:t xml:space="preserve">               </w:t>
      </w:r>
      <w:r w:rsidRPr="00AD7008">
        <w:rPr>
          <w:rFonts w:cs="Arial"/>
          <w:sz w:val="24"/>
          <w:szCs w:val="24"/>
        </w:rPr>
        <w:t xml:space="preserve">           (Günlük doz 2 eşit kısımda</w:t>
      </w:r>
      <w:r w:rsidR="006A386B" w:rsidRPr="00AD7008">
        <w:rPr>
          <w:rFonts w:cs="Arial"/>
          <w:sz w:val="24"/>
          <w:szCs w:val="24"/>
        </w:rPr>
        <w:t>,</w:t>
      </w:r>
      <w:r w:rsidRPr="00AD7008">
        <w:rPr>
          <w:rFonts w:cs="Arial"/>
          <w:sz w:val="24"/>
          <w:szCs w:val="24"/>
        </w:rPr>
        <w:t xml:space="preserve"> 12 saat ara ile verilir)</w:t>
      </w:r>
    </w:p>
    <w:p w:rsidR="00F3674D" w:rsidRPr="00AD7008" w:rsidRDefault="00F3674D" w:rsidP="00AD7008">
      <w:pPr>
        <w:spacing w:after="0" w:line="360" w:lineRule="auto"/>
        <w:jc w:val="both"/>
        <w:rPr>
          <w:rStyle w:val="nowrap1"/>
          <w:rFonts w:cs="Arial"/>
          <w:b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>ATRA devam süresi:</w:t>
      </w:r>
      <w:r w:rsidRPr="00AD7008">
        <w:rPr>
          <w:rFonts w:cs="Times New Roman"/>
          <w:sz w:val="24"/>
          <w:szCs w:val="24"/>
        </w:rPr>
        <w:t xml:space="preserve"> ATRA tedavisine hematolojik tam remisyon (HTR) elde edilene kadar devam edilir</w:t>
      </w:r>
      <w:r w:rsidR="002C3D66" w:rsidRPr="00AD7008">
        <w:rPr>
          <w:rFonts w:cs="Times New Roman"/>
          <w:sz w:val="24"/>
          <w:szCs w:val="24"/>
        </w:rPr>
        <w:t xml:space="preserve"> </w:t>
      </w:r>
      <w:r w:rsidR="002C3D66" w:rsidRPr="00AD7008">
        <w:rPr>
          <w:rFonts w:cs="Times New Roman"/>
          <w:i/>
          <w:sz w:val="24"/>
          <w:szCs w:val="24"/>
        </w:rPr>
        <w:t xml:space="preserve">(HTR= </w:t>
      </w:r>
      <w:r w:rsidRPr="00AD7008">
        <w:rPr>
          <w:rStyle w:val="nowrap1"/>
          <w:rFonts w:cs="Arial"/>
          <w:i/>
          <w:sz w:val="24"/>
          <w:szCs w:val="24"/>
        </w:rPr>
        <w:t xml:space="preserve">Nötrofil &gt;1.000/microL ve Trombosit &gt;100.000/microL ve </w:t>
      </w:r>
      <w:r w:rsidR="002C3D66" w:rsidRPr="00AD7008">
        <w:rPr>
          <w:rStyle w:val="nowrap1"/>
          <w:rFonts w:cs="Arial"/>
          <w:i/>
          <w:sz w:val="24"/>
          <w:szCs w:val="24"/>
        </w:rPr>
        <w:t>T</w:t>
      </w:r>
      <w:r w:rsidRPr="00AD7008">
        <w:rPr>
          <w:rStyle w:val="nowrap1"/>
          <w:rFonts w:cs="Arial"/>
          <w:i/>
          <w:sz w:val="24"/>
          <w:szCs w:val="24"/>
        </w:rPr>
        <w:t>ransfüzyon ihtiyacı yok</w:t>
      </w:r>
      <w:r w:rsidR="002C3D66" w:rsidRPr="00AD7008">
        <w:rPr>
          <w:rStyle w:val="nowrap1"/>
          <w:rFonts w:cs="Arial"/>
          <w:i/>
          <w:sz w:val="24"/>
          <w:szCs w:val="24"/>
        </w:rPr>
        <w:t xml:space="preserve"> ve Blast </w:t>
      </w:r>
      <w:r w:rsidR="00661321" w:rsidRPr="00AD7008">
        <w:rPr>
          <w:rStyle w:val="nowrap1"/>
          <w:rFonts w:cs="Arial"/>
          <w:i/>
          <w:sz w:val="24"/>
          <w:szCs w:val="24"/>
        </w:rPr>
        <w:t xml:space="preserve">&lt;%5 </w:t>
      </w:r>
      <w:r w:rsidR="002C3D66" w:rsidRPr="00AD7008">
        <w:rPr>
          <w:rStyle w:val="nowrap1"/>
          <w:rFonts w:cs="Arial"/>
          <w:i/>
          <w:sz w:val="24"/>
          <w:szCs w:val="24"/>
        </w:rPr>
        <w:t xml:space="preserve"> </w:t>
      </w:r>
      <w:r w:rsidR="00661321" w:rsidRPr="00AD7008">
        <w:rPr>
          <w:rStyle w:val="nowrap1"/>
          <w:rFonts w:cs="Arial"/>
          <w:i/>
          <w:sz w:val="24"/>
          <w:szCs w:val="24"/>
        </w:rPr>
        <w:t xml:space="preserve">ve </w:t>
      </w:r>
      <w:r w:rsidR="002C3D66" w:rsidRPr="00AD7008">
        <w:rPr>
          <w:rStyle w:val="nowrap1"/>
          <w:rFonts w:cs="Arial"/>
          <w:i/>
          <w:sz w:val="24"/>
          <w:szCs w:val="24"/>
        </w:rPr>
        <w:t>Atipik promiyelosit yok</w:t>
      </w:r>
      <w:r w:rsidR="00661321" w:rsidRPr="00AD7008">
        <w:rPr>
          <w:rStyle w:val="nowrap1"/>
          <w:rFonts w:cs="Arial"/>
          <w:i/>
          <w:sz w:val="24"/>
          <w:szCs w:val="24"/>
        </w:rPr>
        <w:t xml:space="preserve"> ve normal maturasyon</w:t>
      </w:r>
      <w:r w:rsidR="002C3D66" w:rsidRPr="00AD7008">
        <w:rPr>
          <w:rStyle w:val="nowrap1"/>
          <w:rFonts w:cs="Arial"/>
          <w:i/>
          <w:sz w:val="24"/>
          <w:szCs w:val="24"/>
        </w:rPr>
        <w:t>)</w:t>
      </w:r>
      <w:r w:rsidR="00C831CA" w:rsidRPr="00AD7008">
        <w:rPr>
          <w:rStyle w:val="nowrap1"/>
          <w:rFonts w:cs="Arial"/>
          <w:i/>
          <w:sz w:val="24"/>
          <w:szCs w:val="24"/>
        </w:rPr>
        <w:t xml:space="preserve">. </w:t>
      </w:r>
      <w:r w:rsidR="00793F46" w:rsidRPr="00AD7008">
        <w:rPr>
          <w:rStyle w:val="nowrap1"/>
          <w:rFonts w:cs="Arial"/>
          <w:sz w:val="24"/>
          <w:szCs w:val="24"/>
        </w:rPr>
        <w:t>Hematolojik remisyon elde etme süresi medyan 35 gündür (26-63 gün)</w:t>
      </w:r>
      <w:r w:rsidR="009D5270" w:rsidRPr="00AD7008">
        <w:rPr>
          <w:rStyle w:val="nowrap1"/>
          <w:rFonts w:cs="Arial"/>
          <w:sz w:val="24"/>
          <w:szCs w:val="24"/>
        </w:rPr>
        <w:t>.</w:t>
      </w:r>
    </w:p>
    <w:p w:rsidR="003E0553" w:rsidRPr="00AD7008" w:rsidRDefault="00014031" w:rsidP="00AD7008">
      <w:pPr>
        <w:spacing w:after="0" w:line="360" w:lineRule="auto"/>
        <w:rPr>
          <w:rFonts w:cs="Times New Roman"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>ATRA tedavisi değerlendirilmesi:</w:t>
      </w:r>
      <w:r w:rsidRPr="00AD7008">
        <w:rPr>
          <w:rFonts w:cs="Times New Roman"/>
          <w:sz w:val="24"/>
          <w:szCs w:val="24"/>
        </w:rPr>
        <w:t xml:space="preserve"> Kemik iliği değerlendirmesi en erken ATRA tedavisinin 30-35. günlerinde HTR sağlananlarda yapılır.</w:t>
      </w:r>
      <w:r w:rsidR="00735ABF" w:rsidRPr="00AD7008">
        <w:rPr>
          <w:rFonts w:cs="Times New Roman"/>
          <w:sz w:val="24"/>
          <w:szCs w:val="24"/>
        </w:rPr>
        <w:t xml:space="preserve"> Bu nedenle ATRA tedavisi 30 günden önce kesilmez.</w:t>
      </w:r>
    </w:p>
    <w:p w:rsidR="003E0553" w:rsidRPr="00AD7008" w:rsidRDefault="00735ABF" w:rsidP="00AD7008">
      <w:pPr>
        <w:spacing w:after="0" w:line="360" w:lineRule="auto"/>
        <w:jc w:val="both"/>
        <w:rPr>
          <w:rFonts w:cs="Arial"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 xml:space="preserve">Kemik iliği değerlendirilmesi: </w:t>
      </w:r>
      <w:r w:rsidRPr="00AD7008">
        <w:rPr>
          <w:rFonts w:cs="Arial"/>
          <w:sz w:val="24"/>
          <w:szCs w:val="24"/>
        </w:rPr>
        <w:t xml:space="preserve">Kemik iliğinde atipik promiyelositler temizlenmiş ise </w:t>
      </w:r>
      <w:r w:rsidR="006A386B" w:rsidRPr="00AD7008">
        <w:rPr>
          <w:rFonts w:cs="Arial"/>
          <w:sz w:val="24"/>
          <w:szCs w:val="24"/>
        </w:rPr>
        <w:t xml:space="preserve">ATRA </w:t>
      </w:r>
      <w:r w:rsidRPr="00AD7008">
        <w:rPr>
          <w:rFonts w:cs="Arial"/>
          <w:sz w:val="24"/>
          <w:szCs w:val="24"/>
        </w:rPr>
        <w:t>tedavi</w:t>
      </w:r>
      <w:r w:rsidR="006A386B" w:rsidRPr="00AD7008">
        <w:rPr>
          <w:rFonts w:cs="Arial"/>
          <w:sz w:val="24"/>
          <w:szCs w:val="24"/>
        </w:rPr>
        <w:t>si</w:t>
      </w:r>
      <w:r w:rsidRPr="00AD7008">
        <w:rPr>
          <w:rFonts w:cs="Arial"/>
          <w:sz w:val="24"/>
          <w:szCs w:val="24"/>
        </w:rPr>
        <w:t xml:space="preserve"> sonlandırılabilir.</w:t>
      </w:r>
      <w:r w:rsidR="008A6CB3" w:rsidRPr="00AD7008">
        <w:rPr>
          <w:rFonts w:cs="Arial"/>
          <w:sz w:val="24"/>
          <w:szCs w:val="24"/>
        </w:rPr>
        <w:t xml:space="preserve"> Aksi durumda ATRA tedavisi 60</w:t>
      </w:r>
      <w:r w:rsidR="0042070F" w:rsidRPr="00AD7008">
        <w:rPr>
          <w:rFonts w:cs="Arial"/>
          <w:sz w:val="24"/>
          <w:szCs w:val="24"/>
        </w:rPr>
        <w:t xml:space="preserve"> </w:t>
      </w:r>
      <w:r w:rsidR="008A6CB3" w:rsidRPr="00AD7008">
        <w:rPr>
          <w:rFonts w:cs="Arial"/>
          <w:sz w:val="24"/>
          <w:szCs w:val="24"/>
        </w:rPr>
        <w:t>güne</w:t>
      </w:r>
      <w:r w:rsidR="0042070F" w:rsidRPr="00AD7008">
        <w:rPr>
          <w:rFonts w:cs="Arial"/>
          <w:sz w:val="24"/>
          <w:szCs w:val="24"/>
        </w:rPr>
        <w:t xml:space="preserve"> kadar</w:t>
      </w:r>
      <w:r w:rsidR="008A6CB3" w:rsidRPr="00AD7008">
        <w:rPr>
          <w:rFonts w:cs="Arial"/>
          <w:sz w:val="24"/>
          <w:szCs w:val="24"/>
        </w:rPr>
        <w:t xml:space="preserve"> </w:t>
      </w:r>
      <w:r w:rsidR="0042070F" w:rsidRPr="00AD7008">
        <w:rPr>
          <w:rFonts w:cs="Arial"/>
          <w:sz w:val="24"/>
          <w:szCs w:val="24"/>
        </w:rPr>
        <w:t>uzatılabilir</w:t>
      </w:r>
      <w:r w:rsidR="008A6CB3" w:rsidRPr="00AD7008">
        <w:rPr>
          <w:rFonts w:cs="Arial"/>
          <w:sz w:val="24"/>
          <w:szCs w:val="24"/>
        </w:rPr>
        <w:t>.</w:t>
      </w:r>
    </w:p>
    <w:p w:rsidR="00661321" w:rsidRPr="00AD7008" w:rsidRDefault="00661321" w:rsidP="00AD7008">
      <w:pPr>
        <w:spacing w:after="0" w:line="360" w:lineRule="auto"/>
        <w:jc w:val="both"/>
        <w:rPr>
          <w:rStyle w:val="Vurgu"/>
          <w:rFonts w:cs="Arial"/>
          <w:b w:val="0"/>
          <w:sz w:val="24"/>
          <w:szCs w:val="24"/>
        </w:rPr>
      </w:pPr>
      <w:r w:rsidRPr="00AD7008">
        <w:rPr>
          <w:rFonts w:cs="Arial"/>
          <w:b/>
          <w:sz w:val="24"/>
          <w:szCs w:val="24"/>
        </w:rPr>
        <w:t>ATRA tedavisi yan etkileri:</w:t>
      </w:r>
      <w:r w:rsidRPr="00AD7008">
        <w:rPr>
          <w:rStyle w:val="Vurgu"/>
          <w:rFonts w:cs="Arial"/>
          <w:sz w:val="24"/>
          <w:szCs w:val="24"/>
        </w:rPr>
        <w:t xml:space="preserve"> </w:t>
      </w:r>
      <w:r w:rsidRPr="00AD7008">
        <w:rPr>
          <w:rStyle w:val="nowrap1"/>
          <w:rFonts w:cs="Arial"/>
          <w:sz w:val="24"/>
          <w:szCs w:val="24"/>
        </w:rPr>
        <w:t xml:space="preserve">ATRA tedavisine bağlı </w:t>
      </w:r>
      <w:r w:rsidRPr="00AD7008">
        <w:rPr>
          <w:rStyle w:val="Vurgu"/>
          <w:rFonts w:cs="Arial"/>
          <w:b w:val="0"/>
          <w:sz w:val="24"/>
          <w:szCs w:val="24"/>
        </w:rPr>
        <w:t>Diferansiyasyon</w:t>
      </w:r>
      <w:r w:rsidRPr="00AD7008">
        <w:rPr>
          <w:rStyle w:val="st1"/>
          <w:rFonts w:cs="Arial"/>
          <w:b/>
          <w:sz w:val="24"/>
          <w:szCs w:val="24"/>
        </w:rPr>
        <w:t xml:space="preserve"> </w:t>
      </w:r>
      <w:r w:rsidRPr="00AD7008">
        <w:rPr>
          <w:rFonts w:cs="Arial"/>
          <w:sz w:val="24"/>
          <w:szCs w:val="24"/>
        </w:rPr>
        <w:t>sendromu</w:t>
      </w:r>
      <w:r w:rsidRPr="00AD7008">
        <w:rPr>
          <w:rStyle w:val="nowrap1"/>
          <w:sz w:val="24"/>
          <w:szCs w:val="24"/>
        </w:rPr>
        <w:t xml:space="preserve">, </w:t>
      </w:r>
      <w:r w:rsidR="0023686E" w:rsidRPr="00AD7008">
        <w:rPr>
          <w:rStyle w:val="nowrap1"/>
          <w:sz w:val="24"/>
          <w:szCs w:val="24"/>
        </w:rPr>
        <w:t>Hiperlökositoz ve</w:t>
      </w:r>
      <w:r w:rsidRPr="00AD7008">
        <w:rPr>
          <w:rStyle w:val="nowrap1"/>
          <w:sz w:val="24"/>
          <w:szCs w:val="24"/>
        </w:rPr>
        <w:t xml:space="preserve"> </w:t>
      </w:r>
      <w:r w:rsidRPr="00AD7008">
        <w:rPr>
          <w:rStyle w:val="Vurgu"/>
          <w:rFonts w:cs="Arial"/>
          <w:b w:val="0"/>
          <w:sz w:val="24"/>
          <w:szCs w:val="24"/>
        </w:rPr>
        <w:t>Pseudotümor serebri</w:t>
      </w:r>
      <w:r w:rsidR="0023686E" w:rsidRPr="00AD7008">
        <w:rPr>
          <w:rStyle w:val="Vurgu"/>
          <w:rFonts w:cs="Arial"/>
          <w:b w:val="0"/>
          <w:sz w:val="24"/>
          <w:szCs w:val="24"/>
        </w:rPr>
        <w:t xml:space="preserve"> görülebilir.</w:t>
      </w:r>
    </w:p>
    <w:p w:rsidR="00950DD5" w:rsidRPr="00AD7008" w:rsidRDefault="00950DD5" w:rsidP="00AD7008">
      <w:pPr>
        <w:spacing w:after="0" w:line="360" w:lineRule="auto"/>
        <w:jc w:val="both"/>
        <w:rPr>
          <w:rStyle w:val="Vurgu"/>
          <w:rFonts w:cs="Arial"/>
          <w:b w:val="0"/>
          <w:sz w:val="24"/>
          <w:szCs w:val="24"/>
        </w:rPr>
      </w:pPr>
      <w:r w:rsidRPr="00AD7008">
        <w:rPr>
          <w:rStyle w:val="nowrap1"/>
          <w:i/>
          <w:sz w:val="24"/>
          <w:szCs w:val="24"/>
        </w:rPr>
        <w:t>Hiperlökositoz</w:t>
      </w:r>
      <w:r w:rsidRPr="00AD7008">
        <w:rPr>
          <w:rStyle w:val="nowrap1"/>
          <w:sz w:val="24"/>
          <w:szCs w:val="24"/>
        </w:rPr>
        <w:t>:</w:t>
      </w:r>
      <w:r w:rsidR="00E1607F" w:rsidRPr="00AD7008">
        <w:rPr>
          <w:rStyle w:val="nowrap1"/>
          <w:b/>
          <w:sz w:val="24"/>
          <w:szCs w:val="24"/>
        </w:rPr>
        <w:t xml:space="preserve"> </w:t>
      </w:r>
      <w:r w:rsidR="0046411F" w:rsidRPr="00AD7008">
        <w:rPr>
          <w:rStyle w:val="nowrap1"/>
          <w:sz w:val="24"/>
          <w:szCs w:val="24"/>
        </w:rPr>
        <w:t>Sitotoksik tedavi + ATRA alan hastalarda insidansi azalmıştır.</w:t>
      </w:r>
      <w:r w:rsidR="0070213B" w:rsidRPr="00AD7008">
        <w:rPr>
          <w:rStyle w:val="nowrap1"/>
          <w:sz w:val="24"/>
          <w:szCs w:val="24"/>
        </w:rPr>
        <w:t xml:space="preserve"> Sreoid tedavisi (DS tedavisine bakınız) uygun olabilir.</w:t>
      </w:r>
    </w:p>
    <w:p w:rsidR="00950DD5" w:rsidRPr="00AD7008" w:rsidRDefault="00950DD5" w:rsidP="00AD700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D7008">
        <w:rPr>
          <w:rFonts w:cs="Times New Roman"/>
          <w:bCs/>
          <w:i/>
          <w:sz w:val="24"/>
          <w:szCs w:val="24"/>
        </w:rPr>
        <w:t>Psödotümör serebri:</w:t>
      </w:r>
      <w:r w:rsidRPr="00AD7008">
        <w:rPr>
          <w:rFonts w:cs="Times New Roman"/>
          <w:b/>
          <w:bCs/>
          <w:sz w:val="24"/>
          <w:szCs w:val="24"/>
        </w:rPr>
        <w:t xml:space="preserve"> </w:t>
      </w:r>
      <w:r w:rsidRPr="00AD7008">
        <w:rPr>
          <w:rFonts w:eastAsia="TimesNewRoman" w:cs="TimesNewRoman"/>
          <w:sz w:val="24"/>
          <w:szCs w:val="24"/>
        </w:rPr>
        <w:t>İ</w:t>
      </w:r>
      <w:r w:rsidRPr="00AD7008">
        <w:rPr>
          <w:rFonts w:cs="Times New Roman"/>
          <w:sz w:val="24"/>
          <w:szCs w:val="24"/>
        </w:rPr>
        <w:t>ntrakraniyel bas</w:t>
      </w:r>
      <w:r w:rsidRPr="00AD7008">
        <w:rPr>
          <w:rFonts w:eastAsia="TimesNewRoman" w:cs="TimesNewRoman"/>
          <w:sz w:val="24"/>
          <w:szCs w:val="24"/>
        </w:rPr>
        <w:t>ı</w:t>
      </w:r>
      <w:r w:rsidRPr="00AD7008">
        <w:rPr>
          <w:rFonts w:cs="Times New Roman"/>
          <w:sz w:val="24"/>
          <w:szCs w:val="24"/>
        </w:rPr>
        <w:t>nçta art</w:t>
      </w:r>
      <w:r w:rsidRPr="00AD7008">
        <w:rPr>
          <w:rFonts w:eastAsia="TimesNewRoman" w:cs="TimesNewRoman"/>
          <w:sz w:val="24"/>
          <w:szCs w:val="24"/>
        </w:rPr>
        <w:t>ış</w:t>
      </w:r>
      <w:r w:rsidRPr="00AD7008">
        <w:rPr>
          <w:rFonts w:cs="Times New Roman"/>
          <w:sz w:val="24"/>
          <w:szCs w:val="24"/>
        </w:rPr>
        <w:t>la karakterize ba</w:t>
      </w:r>
      <w:r w:rsidRPr="00AD7008">
        <w:rPr>
          <w:rFonts w:eastAsia="TimesNewRoman" w:cs="TimesNewRoman"/>
          <w:sz w:val="24"/>
          <w:szCs w:val="24"/>
        </w:rPr>
        <w:t xml:space="preserve">ş </w:t>
      </w:r>
      <w:r w:rsidRPr="00AD7008">
        <w:rPr>
          <w:rFonts w:cs="Times New Roman"/>
          <w:sz w:val="24"/>
          <w:szCs w:val="24"/>
        </w:rPr>
        <w:t>a</w:t>
      </w:r>
      <w:r w:rsidRPr="00AD7008">
        <w:rPr>
          <w:rFonts w:eastAsia="TimesNewRoman" w:cs="TimesNewRoman"/>
          <w:sz w:val="24"/>
          <w:szCs w:val="24"/>
        </w:rPr>
        <w:t>ğ</w:t>
      </w:r>
      <w:r w:rsidRPr="00AD7008">
        <w:rPr>
          <w:rFonts w:cs="Times New Roman"/>
          <w:sz w:val="24"/>
          <w:szCs w:val="24"/>
        </w:rPr>
        <w:t>r</w:t>
      </w:r>
      <w:r w:rsidRPr="00AD7008">
        <w:rPr>
          <w:rFonts w:eastAsia="TimesNewRoman" w:cs="TimesNewRoman"/>
          <w:sz w:val="24"/>
          <w:szCs w:val="24"/>
        </w:rPr>
        <w:t>ı</w:t>
      </w:r>
      <w:r w:rsidRPr="00AD7008">
        <w:rPr>
          <w:rFonts w:cs="Times New Roman"/>
          <w:sz w:val="24"/>
          <w:szCs w:val="24"/>
        </w:rPr>
        <w:t>s</w:t>
      </w:r>
      <w:r w:rsidRPr="00AD7008">
        <w:rPr>
          <w:rFonts w:eastAsia="TimesNewRoman" w:cs="TimesNewRoman"/>
          <w:sz w:val="24"/>
          <w:szCs w:val="24"/>
        </w:rPr>
        <w:t>ı</w:t>
      </w:r>
      <w:r w:rsidRPr="00AD7008">
        <w:rPr>
          <w:rFonts w:cs="Times New Roman"/>
          <w:sz w:val="24"/>
          <w:szCs w:val="24"/>
        </w:rPr>
        <w:t>, bulant</w:t>
      </w:r>
      <w:r w:rsidRPr="00AD7008">
        <w:rPr>
          <w:rFonts w:eastAsia="TimesNewRoman" w:cs="TimesNewRoman"/>
          <w:sz w:val="24"/>
          <w:szCs w:val="24"/>
        </w:rPr>
        <w:t>ı</w:t>
      </w:r>
      <w:r w:rsidRPr="00AD7008">
        <w:rPr>
          <w:rFonts w:cs="Times New Roman"/>
          <w:sz w:val="24"/>
          <w:szCs w:val="24"/>
        </w:rPr>
        <w:t>, kusma</w:t>
      </w:r>
      <w:r w:rsidR="00A4053D" w:rsidRPr="00AD7008">
        <w:rPr>
          <w:rFonts w:cs="Times New Roman"/>
          <w:sz w:val="24"/>
          <w:szCs w:val="24"/>
        </w:rPr>
        <w:t>, görme kaybı</w:t>
      </w:r>
      <w:r w:rsidRPr="00AD7008">
        <w:rPr>
          <w:rFonts w:cs="Times New Roman"/>
          <w:sz w:val="24"/>
          <w:szCs w:val="24"/>
        </w:rPr>
        <w:t xml:space="preserve"> gi</w:t>
      </w:r>
      <w:r w:rsidR="00A4053D" w:rsidRPr="00AD7008">
        <w:rPr>
          <w:rFonts w:cs="Times New Roman"/>
          <w:sz w:val="24"/>
          <w:szCs w:val="24"/>
        </w:rPr>
        <w:t>bi semptomlarla kendini gösterir. P</w:t>
      </w:r>
      <w:r w:rsidR="00F47617" w:rsidRPr="00AD7008">
        <w:rPr>
          <w:rFonts w:cs="Times New Roman"/>
          <w:sz w:val="24"/>
          <w:szCs w:val="24"/>
        </w:rPr>
        <w:t>apil ödemi</w:t>
      </w:r>
      <w:r w:rsidRPr="00AD7008">
        <w:rPr>
          <w:rFonts w:cs="Times New Roman"/>
          <w:sz w:val="24"/>
          <w:szCs w:val="24"/>
        </w:rPr>
        <w:t xml:space="preserve"> </w:t>
      </w:r>
      <w:r w:rsidR="00A4053D" w:rsidRPr="00AD7008">
        <w:rPr>
          <w:rFonts w:cs="Times New Roman"/>
          <w:sz w:val="24"/>
          <w:szCs w:val="24"/>
        </w:rPr>
        <w:t>sıklıkla görülür.</w:t>
      </w:r>
      <w:r w:rsidR="00202BBB" w:rsidRPr="00AD7008">
        <w:rPr>
          <w:rFonts w:cs="Times New Roman"/>
          <w:sz w:val="24"/>
          <w:szCs w:val="24"/>
        </w:rPr>
        <w:t xml:space="preserve"> Tanı </w:t>
      </w:r>
      <w:r w:rsidR="00F47617" w:rsidRPr="00AD7008">
        <w:rPr>
          <w:rFonts w:cs="Times New Roman"/>
          <w:sz w:val="24"/>
          <w:szCs w:val="24"/>
        </w:rPr>
        <w:t xml:space="preserve">hem </w:t>
      </w:r>
      <w:r w:rsidR="00202BBB" w:rsidRPr="00AD7008">
        <w:rPr>
          <w:rFonts w:cs="Times New Roman"/>
          <w:sz w:val="24"/>
          <w:szCs w:val="24"/>
        </w:rPr>
        <w:t xml:space="preserve">serebrospinal sıvı </w:t>
      </w:r>
      <w:r w:rsidR="008D46A1" w:rsidRPr="00AD7008">
        <w:rPr>
          <w:rFonts w:cs="Times New Roman"/>
          <w:sz w:val="24"/>
          <w:szCs w:val="24"/>
        </w:rPr>
        <w:t xml:space="preserve">incelemesinin </w:t>
      </w:r>
      <w:r w:rsidR="005B4533" w:rsidRPr="00AD7008">
        <w:rPr>
          <w:rFonts w:cs="Times New Roman"/>
          <w:sz w:val="24"/>
          <w:szCs w:val="24"/>
        </w:rPr>
        <w:t>ve</w:t>
      </w:r>
      <w:r w:rsidR="008D46A1" w:rsidRPr="00AD7008">
        <w:rPr>
          <w:rFonts w:cs="Times New Roman"/>
          <w:sz w:val="24"/>
          <w:szCs w:val="24"/>
        </w:rPr>
        <w:t xml:space="preserve"> </w:t>
      </w:r>
      <w:r w:rsidR="00F47617" w:rsidRPr="00AD7008">
        <w:rPr>
          <w:rFonts w:cs="Times New Roman"/>
          <w:sz w:val="24"/>
          <w:szCs w:val="24"/>
        </w:rPr>
        <w:t xml:space="preserve">hem de </w:t>
      </w:r>
      <w:r w:rsidR="008D46A1" w:rsidRPr="00AD7008">
        <w:rPr>
          <w:rFonts w:cs="Times New Roman"/>
          <w:sz w:val="24"/>
          <w:szCs w:val="24"/>
        </w:rPr>
        <w:t>beyin görüntülemesinin</w:t>
      </w:r>
      <w:r w:rsidR="005B4533" w:rsidRPr="00AD7008">
        <w:rPr>
          <w:rFonts w:cs="Times New Roman"/>
          <w:sz w:val="24"/>
          <w:szCs w:val="24"/>
        </w:rPr>
        <w:t xml:space="preserve"> (CT</w:t>
      </w:r>
      <w:r w:rsidR="00F47617" w:rsidRPr="00AD7008">
        <w:rPr>
          <w:rFonts w:cs="Times New Roman"/>
          <w:sz w:val="24"/>
          <w:szCs w:val="24"/>
        </w:rPr>
        <w:t xml:space="preserve"> </w:t>
      </w:r>
      <w:r w:rsidR="005B4533" w:rsidRPr="00AD7008">
        <w:rPr>
          <w:rFonts w:cs="Times New Roman"/>
          <w:sz w:val="24"/>
          <w:szCs w:val="24"/>
        </w:rPr>
        <w:t xml:space="preserve">veya MR) </w:t>
      </w:r>
      <w:r w:rsidR="00202BBB" w:rsidRPr="00AD7008">
        <w:rPr>
          <w:rFonts w:cs="Times New Roman"/>
          <w:sz w:val="24"/>
          <w:szCs w:val="24"/>
        </w:rPr>
        <w:t>normal olması ile konur</w:t>
      </w:r>
      <w:r w:rsidR="005B4533" w:rsidRPr="00AD7008">
        <w:rPr>
          <w:rFonts w:cs="Times New Roman"/>
          <w:sz w:val="24"/>
          <w:szCs w:val="24"/>
        </w:rPr>
        <w:t>.</w:t>
      </w:r>
      <w:r w:rsidR="008D46A1" w:rsidRPr="00AD7008">
        <w:rPr>
          <w:rFonts w:cs="Times New Roman"/>
          <w:sz w:val="24"/>
          <w:szCs w:val="24"/>
        </w:rPr>
        <w:t xml:space="preserve"> </w:t>
      </w:r>
      <w:r w:rsidRPr="00AD7008">
        <w:rPr>
          <w:rFonts w:cs="Times New Roman"/>
          <w:sz w:val="24"/>
          <w:szCs w:val="24"/>
        </w:rPr>
        <w:t>ATRA’n</w:t>
      </w:r>
      <w:r w:rsidRPr="00AD7008">
        <w:rPr>
          <w:rFonts w:eastAsia="TimesNewRoman" w:cs="TimesNewRoman"/>
          <w:sz w:val="24"/>
          <w:szCs w:val="24"/>
        </w:rPr>
        <w:t>ı</w:t>
      </w:r>
      <w:r w:rsidR="0070213B" w:rsidRPr="00AD7008">
        <w:rPr>
          <w:rFonts w:cs="Times New Roman"/>
          <w:sz w:val="24"/>
          <w:szCs w:val="24"/>
        </w:rPr>
        <w:t xml:space="preserve">n kesilmesini gerektirir. </w:t>
      </w:r>
      <w:r w:rsidR="00C219B1" w:rsidRPr="00AD7008">
        <w:rPr>
          <w:rFonts w:cs="Times New Roman"/>
          <w:sz w:val="24"/>
          <w:szCs w:val="24"/>
        </w:rPr>
        <w:t xml:space="preserve">Lumber ponksiyonla basıncın düşürülmesi, metil prednizolon(4 x 250mg/gün,5 gün, takiben oral azaltılarak kesilir) </w:t>
      </w:r>
      <w:r w:rsidR="00F47617" w:rsidRPr="00AD7008">
        <w:rPr>
          <w:rFonts w:cs="Times New Roman"/>
          <w:sz w:val="24"/>
          <w:szCs w:val="24"/>
        </w:rPr>
        <w:t>,</w:t>
      </w:r>
      <w:r w:rsidR="00F47617" w:rsidRPr="00AD7008">
        <w:rPr>
          <w:rFonts w:ascii="Arial" w:hAnsi="Arial" w:cs="Arial"/>
          <w:sz w:val="24"/>
          <w:szCs w:val="24"/>
        </w:rPr>
        <w:t xml:space="preserve"> </w:t>
      </w:r>
      <w:r w:rsidRPr="00AD7008">
        <w:rPr>
          <w:rFonts w:cs="Times New Roman"/>
          <w:sz w:val="24"/>
          <w:szCs w:val="24"/>
        </w:rPr>
        <w:t>analjezikler</w:t>
      </w:r>
      <w:r w:rsidR="00C219B1" w:rsidRPr="00AD7008">
        <w:rPr>
          <w:rFonts w:cs="Times New Roman"/>
          <w:sz w:val="24"/>
          <w:szCs w:val="24"/>
        </w:rPr>
        <w:t xml:space="preserve"> (indometazin), furosemid (40 mg/gün) </w:t>
      </w:r>
      <w:r w:rsidRPr="00AD7008">
        <w:rPr>
          <w:rFonts w:cs="Times New Roman"/>
          <w:sz w:val="24"/>
          <w:szCs w:val="24"/>
        </w:rPr>
        <w:t>tedavi seçeneklerindendir</w:t>
      </w:r>
      <w:r w:rsidR="00F47617" w:rsidRPr="00AD7008">
        <w:rPr>
          <w:rFonts w:cs="Times New Roman"/>
          <w:sz w:val="24"/>
          <w:szCs w:val="24"/>
        </w:rPr>
        <w:t>.</w:t>
      </w:r>
    </w:p>
    <w:p w:rsidR="003E0553" w:rsidRPr="00E62041" w:rsidRDefault="003E0553" w:rsidP="00AD700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AD7008">
        <w:rPr>
          <w:rFonts w:cs="Times New Roman"/>
          <w:sz w:val="24"/>
          <w:szCs w:val="24"/>
        </w:rPr>
        <w:t>Hematolojik TR sağlanan hastalara Konsolidasyon tedavisine geçilir</w:t>
      </w:r>
      <w:r>
        <w:rPr>
          <w:rFonts w:cs="Times New Roman"/>
          <w:sz w:val="24"/>
          <w:szCs w:val="24"/>
        </w:rPr>
        <w:t>.</w:t>
      </w: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p w:rsidR="003E0553" w:rsidRDefault="003E0553" w:rsidP="00C55DD0">
      <w:pPr>
        <w:spacing w:after="0"/>
      </w:pPr>
    </w:p>
    <w:sectPr w:rsidR="003E0553" w:rsidSect="00F63FCE"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dvPS6EC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NEJMScalaSansLFCap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OTNEJMScalaSansOSF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9C7"/>
    <w:multiLevelType w:val="hybridMultilevel"/>
    <w:tmpl w:val="6682E99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CA5"/>
    <w:multiLevelType w:val="hybridMultilevel"/>
    <w:tmpl w:val="791EE71C"/>
    <w:lvl w:ilvl="0" w:tplc="A80EC7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C5685"/>
    <w:multiLevelType w:val="hybridMultilevel"/>
    <w:tmpl w:val="A4689C84"/>
    <w:lvl w:ilvl="0" w:tplc="EB34A8B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C65EB"/>
    <w:multiLevelType w:val="hybridMultilevel"/>
    <w:tmpl w:val="6C5EC25C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B5A9A"/>
    <w:multiLevelType w:val="hybridMultilevel"/>
    <w:tmpl w:val="E2A0CDF4"/>
    <w:lvl w:ilvl="0" w:tplc="DC24E5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6E7"/>
    <w:multiLevelType w:val="hybridMultilevel"/>
    <w:tmpl w:val="13422590"/>
    <w:lvl w:ilvl="0" w:tplc="A80EC7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0F99"/>
    <w:multiLevelType w:val="hybridMultilevel"/>
    <w:tmpl w:val="1FC298A4"/>
    <w:lvl w:ilvl="0" w:tplc="A80EC7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B2162"/>
    <w:rsid w:val="00014031"/>
    <w:rsid w:val="00030E9D"/>
    <w:rsid w:val="0004187B"/>
    <w:rsid w:val="00061F29"/>
    <w:rsid w:val="00071242"/>
    <w:rsid w:val="00080C8F"/>
    <w:rsid w:val="00092CDA"/>
    <w:rsid w:val="000A03CE"/>
    <w:rsid w:val="000A3068"/>
    <w:rsid w:val="000B2162"/>
    <w:rsid w:val="000B3881"/>
    <w:rsid w:val="000D3823"/>
    <w:rsid w:val="000E5F17"/>
    <w:rsid w:val="000F3DC8"/>
    <w:rsid w:val="00104F4E"/>
    <w:rsid w:val="00127181"/>
    <w:rsid w:val="00173371"/>
    <w:rsid w:val="001741CF"/>
    <w:rsid w:val="001A762D"/>
    <w:rsid w:val="001C4687"/>
    <w:rsid w:val="001E0680"/>
    <w:rsid w:val="001F75CC"/>
    <w:rsid w:val="002022F7"/>
    <w:rsid w:val="00202BBB"/>
    <w:rsid w:val="00211C44"/>
    <w:rsid w:val="00217C39"/>
    <w:rsid w:val="00227E5D"/>
    <w:rsid w:val="0023686E"/>
    <w:rsid w:val="0027081F"/>
    <w:rsid w:val="0028437C"/>
    <w:rsid w:val="002A49D7"/>
    <w:rsid w:val="002C3D66"/>
    <w:rsid w:val="002F3B4D"/>
    <w:rsid w:val="003105BF"/>
    <w:rsid w:val="0032172C"/>
    <w:rsid w:val="00327B6D"/>
    <w:rsid w:val="0033518D"/>
    <w:rsid w:val="00373ECF"/>
    <w:rsid w:val="003A4D07"/>
    <w:rsid w:val="003C0DD4"/>
    <w:rsid w:val="003D7E73"/>
    <w:rsid w:val="003E0553"/>
    <w:rsid w:val="003F3EE4"/>
    <w:rsid w:val="0042070F"/>
    <w:rsid w:val="00426E53"/>
    <w:rsid w:val="0044007F"/>
    <w:rsid w:val="004478BC"/>
    <w:rsid w:val="00461D4B"/>
    <w:rsid w:val="0046411F"/>
    <w:rsid w:val="0048385D"/>
    <w:rsid w:val="004A3E05"/>
    <w:rsid w:val="004A5104"/>
    <w:rsid w:val="004A64C6"/>
    <w:rsid w:val="004B2A68"/>
    <w:rsid w:val="004C3BFF"/>
    <w:rsid w:val="004C7C3E"/>
    <w:rsid w:val="004D1F89"/>
    <w:rsid w:val="004F1C3D"/>
    <w:rsid w:val="004F69EA"/>
    <w:rsid w:val="00503209"/>
    <w:rsid w:val="005308A9"/>
    <w:rsid w:val="00567195"/>
    <w:rsid w:val="0057750A"/>
    <w:rsid w:val="005918DF"/>
    <w:rsid w:val="005A7625"/>
    <w:rsid w:val="005B4533"/>
    <w:rsid w:val="005B5635"/>
    <w:rsid w:val="005C3F01"/>
    <w:rsid w:val="005D4ED8"/>
    <w:rsid w:val="005E7891"/>
    <w:rsid w:val="00606793"/>
    <w:rsid w:val="00643FF0"/>
    <w:rsid w:val="0064646D"/>
    <w:rsid w:val="00661321"/>
    <w:rsid w:val="00673E8D"/>
    <w:rsid w:val="0067402B"/>
    <w:rsid w:val="00682795"/>
    <w:rsid w:val="006A326A"/>
    <w:rsid w:val="006A386B"/>
    <w:rsid w:val="006A3A78"/>
    <w:rsid w:val="006D0B3A"/>
    <w:rsid w:val="006D5E21"/>
    <w:rsid w:val="006D66DB"/>
    <w:rsid w:val="006E32BF"/>
    <w:rsid w:val="006E62E0"/>
    <w:rsid w:val="0070213B"/>
    <w:rsid w:val="007133B5"/>
    <w:rsid w:val="00721491"/>
    <w:rsid w:val="0073212E"/>
    <w:rsid w:val="00735ABF"/>
    <w:rsid w:val="00736DE0"/>
    <w:rsid w:val="00744D8A"/>
    <w:rsid w:val="0075003B"/>
    <w:rsid w:val="007760A5"/>
    <w:rsid w:val="00786B20"/>
    <w:rsid w:val="00793F46"/>
    <w:rsid w:val="007B021C"/>
    <w:rsid w:val="007C6DB7"/>
    <w:rsid w:val="007E20A2"/>
    <w:rsid w:val="00824DD7"/>
    <w:rsid w:val="008313F9"/>
    <w:rsid w:val="0085310C"/>
    <w:rsid w:val="008618C1"/>
    <w:rsid w:val="00873257"/>
    <w:rsid w:val="00874993"/>
    <w:rsid w:val="008878EA"/>
    <w:rsid w:val="008A2FA0"/>
    <w:rsid w:val="008A337C"/>
    <w:rsid w:val="008A6CB3"/>
    <w:rsid w:val="008C1C78"/>
    <w:rsid w:val="008D41AC"/>
    <w:rsid w:val="008D46A1"/>
    <w:rsid w:val="00904067"/>
    <w:rsid w:val="00905013"/>
    <w:rsid w:val="0090763D"/>
    <w:rsid w:val="00922E79"/>
    <w:rsid w:val="0093474A"/>
    <w:rsid w:val="00950DD5"/>
    <w:rsid w:val="009561A5"/>
    <w:rsid w:val="009678AF"/>
    <w:rsid w:val="00976B6A"/>
    <w:rsid w:val="009833B1"/>
    <w:rsid w:val="009B5D9B"/>
    <w:rsid w:val="009D0271"/>
    <w:rsid w:val="009D16A3"/>
    <w:rsid w:val="009D5270"/>
    <w:rsid w:val="009F3A15"/>
    <w:rsid w:val="00A04B57"/>
    <w:rsid w:val="00A10273"/>
    <w:rsid w:val="00A23DD4"/>
    <w:rsid w:val="00A26EF5"/>
    <w:rsid w:val="00A32208"/>
    <w:rsid w:val="00A4053D"/>
    <w:rsid w:val="00A61FCA"/>
    <w:rsid w:val="00AB2540"/>
    <w:rsid w:val="00AC32BB"/>
    <w:rsid w:val="00AD7008"/>
    <w:rsid w:val="00B04E00"/>
    <w:rsid w:val="00B44E54"/>
    <w:rsid w:val="00B66DAD"/>
    <w:rsid w:val="00B908FD"/>
    <w:rsid w:val="00BA7C04"/>
    <w:rsid w:val="00BC45BD"/>
    <w:rsid w:val="00C0105C"/>
    <w:rsid w:val="00C219B1"/>
    <w:rsid w:val="00C23C21"/>
    <w:rsid w:val="00C35B83"/>
    <w:rsid w:val="00C55DD0"/>
    <w:rsid w:val="00C64171"/>
    <w:rsid w:val="00C7091F"/>
    <w:rsid w:val="00C76AA2"/>
    <w:rsid w:val="00C831CA"/>
    <w:rsid w:val="00C96434"/>
    <w:rsid w:val="00CB3D73"/>
    <w:rsid w:val="00CC30BE"/>
    <w:rsid w:val="00CC39C1"/>
    <w:rsid w:val="00CD1D09"/>
    <w:rsid w:val="00CE4BA7"/>
    <w:rsid w:val="00CF49CD"/>
    <w:rsid w:val="00D00130"/>
    <w:rsid w:val="00D10C86"/>
    <w:rsid w:val="00D20C2F"/>
    <w:rsid w:val="00D9601E"/>
    <w:rsid w:val="00DA5163"/>
    <w:rsid w:val="00DD141B"/>
    <w:rsid w:val="00DE18F3"/>
    <w:rsid w:val="00DF7051"/>
    <w:rsid w:val="00E020BD"/>
    <w:rsid w:val="00E03515"/>
    <w:rsid w:val="00E13CD6"/>
    <w:rsid w:val="00E1607F"/>
    <w:rsid w:val="00E362BD"/>
    <w:rsid w:val="00E36CA7"/>
    <w:rsid w:val="00E42168"/>
    <w:rsid w:val="00E43E64"/>
    <w:rsid w:val="00E47174"/>
    <w:rsid w:val="00E62041"/>
    <w:rsid w:val="00E77AAA"/>
    <w:rsid w:val="00E860CB"/>
    <w:rsid w:val="00EB125A"/>
    <w:rsid w:val="00EC178D"/>
    <w:rsid w:val="00EC6C7C"/>
    <w:rsid w:val="00EE3510"/>
    <w:rsid w:val="00EF30EC"/>
    <w:rsid w:val="00EF55E3"/>
    <w:rsid w:val="00F017C2"/>
    <w:rsid w:val="00F02F86"/>
    <w:rsid w:val="00F063E3"/>
    <w:rsid w:val="00F1692B"/>
    <w:rsid w:val="00F1797C"/>
    <w:rsid w:val="00F20B96"/>
    <w:rsid w:val="00F267BB"/>
    <w:rsid w:val="00F3674D"/>
    <w:rsid w:val="00F44154"/>
    <w:rsid w:val="00F47617"/>
    <w:rsid w:val="00F504DC"/>
    <w:rsid w:val="00F627FB"/>
    <w:rsid w:val="00F63FCE"/>
    <w:rsid w:val="00F96380"/>
    <w:rsid w:val="00FA7702"/>
    <w:rsid w:val="00FC37FE"/>
    <w:rsid w:val="00FE1942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B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55DD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55DD0"/>
  </w:style>
  <w:style w:type="character" w:customStyle="1" w:styleId="nowrap1">
    <w:name w:val="nowrap1"/>
    <w:basedOn w:val="VarsaylanParagrafYazTipi"/>
    <w:rsid w:val="004B2A68"/>
  </w:style>
  <w:style w:type="paragraph" w:styleId="ListeParagraf">
    <w:name w:val="List Paragraph"/>
    <w:basedOn w:val="Normal"/>
    <w:uiPriority w:val="34"/>
    <w:qFormat/>
    <w:rsid w:val="0028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5026-18B5-41B6-8436-D49E4C41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140</cp:revision>
  <dcterms:created xsi:type="dcterms:W3CDTF">2015-12-03T18:08:00Z</dcterms:created>
  <dcterms:modified xsi:type="dcterms:W3CDTF">2015-12-13T11:33:00Z</dcterms:modified>
</cp:coreProperties>
</file>